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FF547" w14:textId="129FA7DF" w:rsidR="009D0272" w:rsidRPr="00470CEC" w:rsidRDefault="00254821" w:rsidP="0043186E">
      <w:pPr>
        <w:pStyle w:val="NoSpacing"/>
        <w:rPr>
          <w:rFonts w:ascii="Calibri" w:hAnsi="Calibri"/>
          <w:b/>
          <w:sz w:val="28"/>
          <w:szCs w:val="28"/>
        </w:rPr>
      </w:pPr>
      <w:r w:rsidRPr="00470CEC">
        <w:rPr>
          <w:rFonts w:ascii="Calibri" w:hAnsi="Calibri"/>
          <w:b/>
          <w:sz w:val="28"/>
          <w:szCs w:val="28"/>
        </w:rPr>
        <w:t>Baylor University</w:t>
      </w:r>
    </w:p>
    <w:p w14:paraId="145E08C1" w14:textId="28959924" w:rsidR="00254821" w:rsidRPr="00470CEC" w:rsidRDefault="00733417" w:rsidP="0043186E">
      <w:pPr>
        <w:pStyle w:val="NoSpacing"/>
        <w:rPr>
          <w:rFonts w:ascii="Calibri" w:hAnsi="Calibri"/>
          <w:b/>
          <w:sz w:val="28"/>
          <w:szCs w:val="28"/>
        </w:rPr>
      </w:pPr>
      <w:r>
        <w:rPr>
          <w:rFonts w:ascii="Calibri" w:hAnsi="Calibri"/>
          <w:b/>
          <w:sz w:val="28"/>
          <w:szCs w:val="28"/>
        </w:rPr>
        <w:t>Q&amp;</w:t>
      </w:r>
      <w:r w:rsidR="00470CEC">
        <w:rPr>
          <w:rFonts w:ascii="Calibri" w:hAnsi="Calibri"/>
          <w:b/>
          <w:sz w:val="28"/>
          <w:szCs w:val="28"/>
        </w:rPr>
        <w:t>A c</w:t>
      </w:r>
      <w:r w:rsidR="00254821" w:rsidRPr="00470CEC">
        <w:rPr>
          <w:rFonts w:ascii="Calibri" w:hAnsi="Calibri"/>
          <w:b/>
          <w:sz w:val="28"/>
          <w:szCs w:val="28"/>
        </w:rPr>
        <w:t xml:space="preserve">oncerning </w:t>
      </w:r>
      <w:r w:rsidR="00470CEC" w:rsidRPr="00470CEC">
        <w:rPr>
          <w:rFonts w:ascii="Calibri" w:hAnsi="Calibri"/>
          <w:b/>
          <w:sz w:val="28"/>
          <w:szCs w:val="28"/>
        </w:rPr>
        <w:t xml:space="preserve">procedures for </w:t>
      </w:r>
      <w:r w:rsidR="001E5DF6" w:rsidRPr="00470CEC">
        <w:rPr>
          <w:rFonts w:ascii="Calibri" w:hAnsi="Calibri"/>
          <w:b/>
          <w:sz w:val="28"/>
          <w:szCs w:val="28"/>
        </w:rPr>
        <w:t>investigation of allegations of sexual assault</w:t>
      </w:r>
      <w:r w:rsidR="00762412">
        <w:rPr>
          <w:rFonts w:ascii="Calibri" w:hAnsi="Calibri"/>
          <w:b/>
          <w:sz w:val="28"/>
          <w:szCs w:val="28"/>
        </w:rPr>
        <w:t xml:space="preserve"> </w:t>
      </w:r>
    </w:p>
    <w:p w14:paraId="64A9B9D0" w14:textId="13632392" w:rsidR="00470CEC" w:rsidRPr="00470CEC" w:rsidRDefault="00470CEC" w:rsidP="0043186E">
      <w:pPr>
        <w:pStyle w:val="NoSpacing"/>
        <w:rPr>
          <w:rFonts w:ascii="Calibri" w:hAnsi="Calibri"/>
          <w:b/>
          <w:sz w:val="28"/>
          <w:szCs w:val="28"/>
        </w:rPr>
      </w:pPr>
      <w:r w:rsidRPr="00470CEC">
        <w:rPr>
          <w:rFonts w:ascii="Calibri" w:hAnsi="Calibri"/>
          <w:b/>
          <w:sz w:val="28"/>
          <w:szCs w:val="28"/>
        </w:rPr>
        <w:t>August 24, 2015</w:t>
      </w:r>
    </w:p>
    <w:p w14:paraId="3BC191E4" w14:textId="77777777" w:rsidR="009D0272" w:rsidRDefault="009D0272" w:rsidP="0043186E">
      <w:pPr>
        <w:pStyle w:val="NoSpacing"/>
        <w:rPr>
          <w:rFonts w:ascii="Calibri" w:hAnsi="Calibri"/>
          <w:b/>
          <w:sz w:val="22"/>
          <w:szCs w:val="22"/>
        </w:rPr>
      </w:pPr>
    </w:p>
    <w:p w14:paraId="74CCE1F7" w14:textId="77777777" w:rsidR="00B9022E" w:rsidRDefault="00B9022E" w:rsidP="0043186E">
      <w:pPr>
        <w:pStyle w:val="NoSpacing"/>
        <w:rPr>
          <w:rFonts w:ascii="Calibri" w:hAnsi="Calibri"/>
          <w:b/>
          <w:sz w:val="22"/>
          <w:szCs w:val="22"/>
        </w:rPr>
      </w:pPr>
    </w:p>
    <w:p w14:paraId="7305C8DF" w14:textId="057590D3" w:rsidR="00B9022E" w:rsidRPr="00FA7457" w:rsidRDefault="00B9022E" w:rsidP="00B9022E">
      <w:pPr>
        <w:pStyle w:val="NoSpacing"/>
        <w:rPr>
          <w:rFonts w:ascii="Calibri" w:hAnsi="Calibri"/>
          <w:sz w:val="22"/>
        </w:rPr>
      </w:pPr>
      <w:r w:rsidRPr="00FA7457">
        <w:rPr>
          <w:rFonts w:ascii="Calibri" w:hAnsi="Calibri"/>
          <w:sz w:val="22"/>
        </w:rPr>
        <w:t xml:space="preserve">Acts of sexual violence contradict every value Baylor University upholds as a caring Christian community. In recent years we have joined university efforts nationally to prevent campus violence against women and sexual assault, to support </w:t>
      </w:r>
      <w:r w:rsidR="007C5D9C" w:rsidRPr="00FA7457">
        <w:rPr>
          <w:rFonts w:ascii="Calibri" w:hAnsi="Calibri"/>
          <w:sz w:val="22"/>
        </w:rPr>
        <w:t xml:space="preserve">actively </w:t>
      </w:r>
      <w:r w:rsidRPr="00FA7457">
        <w:rPr>
          <w:rFonts w:ascii="Calibri" w:hAnsi="Calibri"/>
          <w:sz w:val="22"/>
        </w:rPr>
        <w:t>survivors of sexual assault with compassion and care, and to take action against perpetrators. We have established and fully staffed a Title IX office that employs a Title IX Coordinator and two full-time investigators. Maintaining a safe and caring community is central to Baylor’s mission and at the heart of our commitment to our students, faculty and staff.</w:t>
      </w:r>
    </w:p>
    <w:p w14:paraId="3FF814DD" w14:textId="77777777" w:rsidR="00B9022E" w:rsidRDefault="00B9022E" w:rsidP="0043186E">
      <w:pPr>
        <w:pStyle w:val="NoSpacing"/>
        <w:rPr>
          <w:rFonts w:ascii="Calibri" w:hAnsi="Calibri"/>
          <w:b/>
          <w:sz w:val="22"/>
          <w:szCs w:val="22"/>
        </w:rPr>
      </w:pPr>
    </w:p>
    <w:p w14:paraId="48D713FC" w14:textId="77777777" w:rsidR="00762412" w:rsidRDefault="00762412" w:rsidP="0043186E">
      <w:pPr>
        <w:pStyle w:val="NoSpacing"/>
        <w:rPr>
          <w:rFonts w:ascii="Calibri" w:hAnsi="Calibri"/>
          <w:b/>
          <w:sz w:val="22"/>
          <w:szCs w:val="22"/>
        </w:rPr>
      </w:pPr>
    </w:p>
    <w:p w14:paraId="5951B560" w14:textId="666D4514" w:rsidR="00153535" w:rsidRDefault="003E78BF" w:rsidP="0043186E">
      <w:pPr>
        <w:pStyle w:val="NoSpacing"/>
        <w:rPr>
          <w:rFonts w:ascii="Calibri" w:hAnsi="Calibri"/>
          <w:b/>
          <w:sz w:val="22"/>
          <w:szCs w:val="22"/>
        </w:rPr>
      </w:pPr>
      <w:r w:rsidRPr="0043186E">
        <w:rPr>
          <w:rFonts w:ascii="Calibri" w:hAnsi="Calibri"/>
          <w:b/>
          <w:sz w:val="22"/>
          <w:szCs w:val="22"/>
        </w:rPr>
        <w:t xml:space="preserve">Q: </w:t>
      </w:r>
      <w:r w:rsidR="00153535">
        <w:rPr>
          <w:rFonts w:ascii="Calibri" w:hAnsi="Calibri"/>
          <w:b/>
          <w:sz w:val="22"/>
          <w:szCs w:val="22"/>
        </w:rPr>
        <w:t>Does the university have a process to investigate allegations of sexual ass</w:t>
      </w:r>
      <w:r w:rsidR="00132CAE">
        <w:rPr>
          <w:rFonts w:ascii="Calibri" w:hAnsi="Calibri"/>
          <w:b/>
          <w:sz w:val="22"/>
          <w:szCs w:val="22"/>
        </w:rPr>
        <w:t>a</w:t>
      </w:r>
      <w:r w:rsidR="00153535">
        <w:rPr>
          <w:rFonts w:ascii="Calibri" w:hAnsi="Calibri"/>
          <w:b/>
          <w:sz w:val="22"/>
          <w:szCs w:val="22"/>
        </w:rPr>
        <w:t>ult?</w:t>
      </w:r>
    </w:p>
    <w:p w14:paraId="4C2598FA" w14:textId="77777777" w:rsidR="00153535" w:rsidRDefault="00153535" w:rsidP="0043186E">
      <w:pPr>
        <w:pStyle w:val="NoSpacing"/>
        <w:rPr>
          <w:rFonts w:ascii="Calibri" w:hAnsi="Calibri"/>
          <w:b/>
          <w:sz w:val="22"/>
          <w:szCs w:val="22"/>
        </w:rPr>
      </w:pPr>
    </w:p>
    <w:p w14:paraId="596A9194" w14:textId="51E038FE" w:rsidR="00153535" w:rsidRPr="00132CAE" w:rsidRDefault="00316CE1" w:rsidP="0043186E">
      <w:pPr>
        <w:pStyle w:val="NoSpacing"/>
        <w:rPr>
          <w:rFonts w:ascii="Calibri" w:hAnsi="Calibri"/>
          <w:sz w:val="22"/>
          <w:szCs w:val="22"/>
        </w:rPr>
      </w:pPr>
      <w:r>
        <w:rPr>
          <w:rFonts w:ascii="Calibri" w:hAnsi="Calibri"/>
          <w:sz w:val="22"/>
          <w:szCs w:val="22"/>
        </w:rPr>
        <w:t>A: The U</w:t>
      </w:r>
      <w:r w:rsidR="00153535" w:rsidRPr="00132CAE">
        <w:rPr>
          <w:rFonts w:ascii="Calibri" w:hAnsi="Calibri"/>
          <w:sz w:val="22"/>
          <w:szCs w:val="22"/>
        </w:rPr>
        <w:t>niversity has a Title IX office with a full</w:t>
      </w:r>
      <w:r w:rsidR="00132CAE">
        <w:rPr>
          <w:rFonts w:ascii="Calibri" w:hAnsi="Calibri"/>
          <w:sz w:val="22"/>
          <w:szCs w:val="22"/>
        </w:rPr>
        <w:t>-</w:t>
      </w:r>
      <w:r w:rsidR="00153535" w:rsidRPr="00132CAE">
        <w:rPr>
          <w:rFonts w:ascii="Calibri" w:hAnsi="Calibri"/>
          <w:sz w:val="22"/>
          <w:szCs w:val="22"/>
        </w:rPr>
        <w:t>time coordinator and two full-time investigators. We have and will continue to fully comply with federal statutes and guidelines concerning the investigation of sexual ass</w:t>
      </w:r>
      <w:r w:rsidR="00132CAE">
        <w:rPr>
          <w:rFonts w:ascii="Calibri" w:hAnsi="Calibri"/>
          <w:sz w:val="22"/>
          <w:szCs w:val="22"/>
        </w:rPr>
        <w:t>a</w:t>
      </w:r>
      <w:r w:rsidR="00153535" w:rsidRPr="00132CAE">
        <w:rPr>
          <w:rFonts w:ascii="Calibri" w:hAnsi="Calibri"/>
          <w:sz w:val="22"/>
          <w:szCs w:val="22"/>
        </w:rPr>
        <w:t xml:space="preserve">ult on our campus. We also actively communicate with our students </w:t>
      </w:r>
      <w:r w:rsidR="001E1589">
        <w:rPr>
          <w:rFonts w:ascii="Calibri" w:hAnsi="Calibri"/>
          <w:sz w:val="22"/>
          <w:szCs w:val="22"/>
        </w:rPr>
        <w:t xml:space="preserve">about </w:t>
      </w:r>
      <w:r w:rsidR="00153535" w:rsidRPr="00132CAE">
        <w:rPr>
          <w:rFonts w:ascii="Calibri" w:hAnsi="Calibri"/>
          <w:sz w:val="22"/>
          <w:szCs w:val="22"/>
        </w:rPr>
        <w:t>the resources of the Title IX office.</w:t>
      </w:r>
    </w:p>
    <w:p w14:paraId="4F10CDDD" w14:textId="77777777" w:rsidR="00153535" w:rsidRDefault="00153535" w:rsidP="0043186E">
      <w:pPr>
        <w:pStyle w:val="NoSpacing"/>
        <w:rPr>
          <w:rFonts w:ascii="Calibri" w:hAnsi="Calibri"/>
          <w:b/>
          <w:sz w:val="22"/>
          <w:szCs w:val="22"/>
        </w:rPr>
      </w:pPr>
    </w:p>
    <w:p w14:paraId="6282A3E9" w14:textId="77777777" w:rsidR="00762412" w:rsidRDefault="00762412" w:rsidP="0043186E">
      <w:pPr>
        <w:pStyle w:val="NoSpacing"/>
        <w:rPr>
          <w:rFonts w:ascii="Calibri" w:hAnsi="Calibri"/>
          <w:b/>
          <w:sz w:val="22"/>
          <w:szCs w:val="22"/>
        </w:rPr>
      </w:pPr>
    </w:p>
    <w:p w14:paraId="3FADE14D" w14:textId="1A6EFA58" w:rsidR="00153535" w:rsidRPr="0043186E" w:rsidRDefault="00153535" w:rsidP="00153535">
      <w:pPr>
        <w:pStyle w:val="NoSpacing"/>
        <w:rPr>
          <w:rFonts w:ascii="Calibri" w:hAnsi="Calibri"/>
          <w:b/>
          <w:sz w:val="22"/>
          <w:szCs w:val="22"/>
        </w:rPr>
      </w:pPr>
      <w:r w:rsidRPr="0043186E">
        <w:rPr>
          <w:rFonts w:ascii="Calibri" w:hAnsi="Calibri"/>
          <w:b/>
          <w:sz w:val="22"/>
          <w:szCs w:val="22"/>
        </w:rPr>
        <w:t xml:space="preserve">Q. What </w:t>
      </w:r>
      <w:r>
        <w:rPr>
          <w:rFonts w:ascii="Calibri" w:hAnsi="Calibri"/>
          <w:b/>
          <w:sz w:val="22"/>
          <w:szCs w:val="22"/>
        </w:rPr>
        <w:t xml:space="preserve">is </w:t>
      </w:r>
      <w:r w:rsidRPr="0043186E">
        <w:rPr>
          <w:rFonts w:ascii="Calibri" w:hAnsi="Calibri"/>
          <w:b/>
          <w:sz w:val="22"/>
          <w:szCs w:val="22"/>
        </w:rPr>
        <w:t>the university’s student disciplinary pro</w:t>
      </w:r>
      <w:r>
        <w:rPr>
          <w:rFonts w:ascii="Calibri" w:hAnsi="Calibri"/>
          <w:b/>
          <w:sz w:val="22"/>
          <w:szCs w:val="22"/>
        </w:rPr>
        <w:t>cess now and what was it in 2013</w:t>
      </w:r>
      <w:r w:rsidRPr="0043186E">
        <w:rPr>
          <w:rFonts w:ascii="Calibri" w:hAnsi="Calibri"/>
          <w:b/>
          <w:sz w:val="22"/>
          <w:szCs w:val="22"/>
        </w:rPr>
        <w:t>?</w:t>
      </w:r>
    </w:p>
    <w:p w14:paraId="0CA91E58" w14:textId="77777777" w:rsidR="00153535" w:rsidRDefault="00153535" w:rsidP="00153535">
      <w:pPr>
        <w:pStyle w:val="NoSpacing"/>
        <w:rPr>
          <w:rFonts w:ascii="Calibri" w:hAnsi="Calibri"/>
          <w:sz w:val="22"/>
          <w:szCs w:val="22"/>
        </w:rPr>
      </w:pPr>
    </w:p>
    <w:p w14:paraId="4EFDC180" w14:textId="725D2C50" w:rsidR="00153535" w:rsidRPr="0043186E" w:rsidRDefault="00153535" w:rsidP="00153535">
      <w:pPr>
        <w:pStyle w:val="NoSpacing"/>
        <w:rPr>
          <w:rFonts w:ascii="Calibri" w:hAnsi="Calibri"/>
          <w:sz w:val="22"/>
          <w:szCs w:val="22"/>
        </w:rPr>
      </w:pPr>
      <w:r>
        <w:rPr>
          <w:rFonts w:ascii="Calibri" w:hAnsi="Calibri"/>
          <w:sz w:val="22"/>
          <w:szCs w:val="22"/>
        </w:rPr>
        <w:t xml:space="preserve">A. </w:t>
      </w:r>
      <w:r w:rsidRPr="0043186E">
        <w:rPr>
          <w:rFonts w:ascii="Calibri" w:hAnsi="Calibri"/>
          <w:sz w:val="22"/>
          <w:szCs w:val="22"/>
        </w:rPr>
        <w:t xml:space="preserve">This is </w:t>
      </w:r>
      <w:r w:rsidRPr="00BC42DB">
        <w:rPr>
          <w:rFonts w:ascii="Calibri" w:hAnsi="Calibri"/>
          <w:sz w:val="22"/>
          <w:szCs w:val="22"/>
        </w:rPr>
        <w:t>Baylor University</w:t>
      </w:r>
      <w:r>
        <w:rPr>
          <w:rFonts w:ascii="Calibri" w:hAnsi="Calibri"/>
          <w:sz w:val="22"/>
          <w:szCs w:val="22"/>
        </w:rPr>
        <w:t>’s</w:t>
      </w:r>
      <w:r w:rsidRPr="0043186E">
        <w:rPr>
          <w:rFonts w:ascii="Calibri" w:hAnsi="Calibri"/>
          <w:sz w:val="22"/>
          <w:szCs w:val="22"/>
        </w:rPr>
        <w:t xml:space="preserve"> current process under Title IX: When a student files a complaint of sexual assault against another student, full-time Ti</w:t>
      </w:r>
      <w:r>
        <w:rPr>
          <w:rFonts w:ascii="Calibri" w:hAnsi="Calibri"/>
          <w:sz w:val="22"/>
          <w:szCs w:val="22"/>
        </w:rPr>
        <w:t>tle IX investigators will investigate</w:t>
      </w:r>
      <w:r w:rsidRPr="0043186E">
        <w:rPr>
          <w:rFonts w:ascii="Calibri" w:hAnsi="Calibri"/>
          <w:sz w:val="22"/>
          <w:szCs w:val="22"/>
        </w:rPr>
        <w:t xml:space="preserve"> the complaint. Every complaint in which the complainant wishes to proceed goes to a formal disciplinary hearing, </w:t>
      </w:r>
      <w:r w:rsidR="001E1589">
        <w:rPr>
          <w:rFonts w:ascii="Calibri" w:hAnsi="Calibri"/>
          <w:sz w:val="22"/>
          <w:szCs w:val="22"/>
        </w:rPr>
        <w:t>in which</w:t>
      </w:r>
      <w:r w:rsidRPr="0043186E">
        <w:rPr>
          <w:rFonts w:ascii="Calibri" w:hAnsi="Calibri"/>
          <w:sz w:val="22"/>
          <w:szCs w:val="22"/>
        </w:rPr>
        <w:t xml:space="preserve"> facts are considered by a highly trained adjudicator in the Title IX process. A determination is then made, and, when appropriate, sanctions are imposed. All parties have the right to appeal.</w:t>
      </w:r>
    </w:p>
    <w:p w14:paraId="77F539CB" w14:textId="77777777" w:rsidR="00153535" w:rsidRPr="0043186E" w:rsidRDefault="00153535" w:rsidP="00153535">
      <w:pPr>
        <w:pStyle w:val="NoSpacing"/>
        <w:rPr>
          <w:rFonts w:ascii="Calibri" w:hAnsi="Calibri"/>
          <w:sz w:val="22"/>
          <w:szCs w:val="22"/>
        </w:rPr>
      </w:pPr>
    </w:p>
    <w:p w14:paraId="15B708F9" w14:textId="3FF96999" w:rsidR="00153535" w:rsidRPr="0043186E" w:rsidRDefault="00153535" w:rsidP="00153535">
      <w:pPr>
        <w:pStyle w:val="NoSpacing"/>
        <w:rPr>
          <w:rFonts w:ascii="Calibri" w:hAnsi="Calibri"/>
          <w:sz w:val="22"/>
          <w:szCs w:val="22"/>
        </w:rPr>
      </w:pPr>
      <w:r w:rsidRPr="0043186E">
        <w:rPr>
          <w:rFonts w:ascii="Calibri" w:hAnsi="Calibri"/>
          <w:sz w:val="22"/>
          <w:szCs w:val="22"/>
        </w:rPr>
        <w:t xml:space="preserve">There have been changes since 2013. In 2013, </w:t>
      </w:r>
      <w:r w:rsidRPr="00BC42DB">
        <w:rPr>
          <w:rFonts w:ascii="Calibri" w:hAnsi="Calibri"/>
          <w:sz w:val="22"/>
          <w:szCs w:val="22"/>
        </w:rPr>
        <w:t>Baylor University</w:t>
      </w:r>
      <w:r w:rsidRPr="0043186E">
        <w:rPr>
          <w:rFonts w:ascii="Calibri" w:hAnsi="Calibri"/>
          <w:sz w:val="22"/>
          <w:szCs w:val="22"/>
        </w:rPr>
        <w:t xml:space="preserve"> did not have a Title IX office but did have a Title IX coordinator who oversaw the university’s Title IX compliance. In 2013, complaints involving students were handled under the Student Conduct Code. Evidence was considered by a Student Life professional trained in the adjudication of student conduct and Title IX. In that process, after consideration of the preponderance of the evidence, a decision was rendered to move or not move to a full disciplinary hearing. </w:t>
      </w:r>
      <w:r>
        <w:rPr>
          <w:rFonts w:ascii="Calibri" w:hAnsi="Calibri"/>
          <w:sz w:val="22"/>
          <w:szCs w:val="22"/>
        </w:rPr>
        <w:t>In Title IX cases, a</w:t>
      </w:r>
      <w:r w:rsidRPr="0043186E">
        <w:rPr>
          <w:rFonts w:ascii="Calibri" w:hAnsi="Calibri"/>
          <w:sz w:val="22"/>
          <w:szCs w:val="22"/>
        </w:rPr>
        <w:t xml:space="preserve"> decision not to go to a full hearing </w:t>
      </w:r>
      <w:r w:rsidR="00254821">
        <w:rPr>
          <w:rFonts w:ascii="Calibri" w:hAnsi="Calibri"/>
          <w:sz w:val="22"/>
          <w:szCs w:val="22"/>
        </w:rPr>
        <w:t xml:space="preserve">could </w:t>
      </w:r>
      <w:r w:rsidRPr="0043186E">
        <w:rPr>
          <w:rFonts w:ascii="Calibri" w:hAnsi="Calibri"/>
          <w:sz w:val="22"/>
          <w:szCs w:val="22"/>
        </w:rPr>
        <w:t xml:space="preserve">be appealed through the university’s Civil Rights policy. If the decision </w:t>
      </w:r>
      <w:r w:rsidR="00254821">
        <w:rPr>
          <w:rFonts w:ascii="Calibri" w:hAnsi="Calibri"/>
          <w:sz w:val="22"/>
          <w:szCs w:val="22"/>
        </w:rPr>
        <w:t xml:space="preserve">to go to a full hearing </w:t>
      </w:r>
      <w:r w:rsidRPr="0043186E">
        <w:rPr>
          <w:rFonts w:ascii="Calibri" w:hAnsi="Calibri"/>
          <w:sz w:val="22"/>
          <w:szCs w:val="22"/>
        </w:rPr>
        <w:t>was not appealed by either party, the file was closed.</w:t>
      </w:r>
    </w:p>
    <w:p w14:paraId="52B688E0" w14:textId="77777777" w:rsidR="00153535" w:rsidRDefault="00153535" w:rsidP="0043186E">
      <w:pPr>
        <w:pStyle w:val="NoSpacing"/>
        <w:rPr>
          <w:rFonts w:ascii="Calibri" w:hAnsi="Calibri"/>
          <w:b/>
          <w:sz w:val="22"/>
          <w:szCs w:val="22"/>
        </w:rPr>
      </w:pPr>
    </w:p>
    <w:p w14:paraId="0DB69C2A" w14:textId="77777777" w:rsidR="00762412" w:rsidRDefault="00762412" w:rsidP="0043186E">
      <w:pPr>
        <w:pStyle w:val="NoSpacing"/>
        <w:rPr>
          <w:rFonts w:ascii="Calibri" w:hAnsi="Calibri"/>
          <w:b/>
          <w:sz w:val="22"/>
          <w:szCs w:val="22"/>
        </w:rPr>
      </w:pPr>
    </w:p>
    <w:p w14:paraId="5B02BA4A" w14:textId="666C443C" w:rsidR="00773F1F" w:rsidRPr="0043186E" w:rsidRDefault="00773F1F" w:rsidP="00773F1F">
      <w:pPr>
        <w:pStyle w:val="NoSpacing"/>
        <w:rPr>
          <w:rFonts w:ascii="Calibri" w:hAnsi="Calibri"/>
          <w:b/>
          <w:sz w:val="22"/>
          <w:szCs w:val="22"/>
        </w:rPr>
      </w:pPr>
      <w:r w:rsidRPr="0043186E">
        <w:rPr>
          <w:rFonts w:ascii="Calibri" w:hAnsi="Calibri"/>
          <w:b/>
          <w:sz w:val="22"/>
          <w:szCs w:val="22"/>
        </w:rPr>
        <w:t xml:space="preserve">Q. Why did </w:t>
      </w:r>
      <w:r w:rsidR="00762412">
        <w:rPr>
          <w:rFonts w:ascii="Calibri" w:hAnsi="Calibri"/>
          <w:b/>
          <w:sz w:val="22"/>
          <w:szCs w:val="22"/>
        </w:rPr>
        <w:t>Baylor</w:t>
      </w:r>
      <w:r w:rsidRPr="0043186E">
        <w:rPr>
          <w:rFonts w:ascii="Calibri" w:hAnsi="Calibri"/>
          <w:b/>
          <w:sz w:val="22"/>
          <w:szCs w:val="22"/>
        </w:rPr>
        <w:t xml:space="preserve"> make those changes?</w:t>
      </w:r>
    </w:p>
    <w:p w14:paraId="12B19ED3" w14:textId="77777777" w:rsidR="00773F1F" w:rsidRDefault="00773F1F" w:rsidP="00773F1F">
      <w:pPr>
        <w:pStyle w:val="NoSpacing"/>
        <w:rPr>
          <w:rFonts w:ascii="Calibri" w:hAnsi="Calibri"/>
          <w:sz w:val="22"/>
          <w:szCs w:val="22"/>
        </w:rPr>
      </w:pPr>
    </w:p>
    <w:p w14:paraId="4326CB63" w14:textId="5DBFEF87" w:rsidR="00773F1F" w:rsidRPr="0043186E" w:rsidRDefault="00773F1F" w:rsidP="00773F1F">
      <w:pPr>
        <w:pStyle w:val="NoSpacing"/>
        <w:rPr>
          <w:rFonts w:ascii="Calibri" w:hAnsi="Calibri"/>
          <w:sz w:val="22"/>
          <w:szCs w:val="22"/>
        </w:rPr>
      </w:pPr>
      <w:r>
        <w:rPr>
          <w:rFonts w:ascii="Calibri" w:hAnsi="Calibri"/>
          <w:sz w:val="22"/>
          <w:szCs w:val="22"/>
        </w:rPr>
        <w:t xml:space="preserve">A. </w:t>
      </w:r>
      <w:r w:rsidR="00254821" w:rsidRPr="00470CEC">
        <w:rPr>
          <w:rFonts w:ascii="Calibri" w:hAnsi="Calibri"/>
          <w:sz w:val="22"/>
          <w:szCs w:val="22"/>
        </w:rPr>
        <w:t>The</w:t>
      </w:r>
      <w:r w:rsidRPr="00254821">
        <w:rPr>
          <w:rFonts w:ascii="Calibri" w:hAnsi="Calibri"/>
          <w:sz w:val="22"/>
          <w:szCs w:val="22"/>
        </w:rPr>
        <w:t xml:space="preserve"> </w:t>
      </w:r>
      <w:r w:rsidRPr="0043186E">
        <w:rPr>
          <w:rFonts w:ascii="Calibri" w:hAnsi="Calibri"/>
          <w:sz w:val="22"/>
          <w:szCs w:val="22"/>
        </w:rPr>
        <w:t>university’s process changed because we have continued to seek out and receive additional guidance and information regarding best practices</w:t>
      </w:r>
      <w:r>
        <w:rPr>
          <w:rFonts w:ascii="Calibri" w:hAnsi="Calibri"/>
          <w:sz w:val="22"/>
          <w:szCs w:val="22"/>
        </w:rPr>
        <w:t>;</w:t>
      </w:r>
      <w:r w:rsidRPr="0043186E">
        <w:rPr>
          <w:rFonts w:ascii="Calibri" w:hAnsi="Calibri"/>
          <w:sz w:val="22"/>
          <w:szCs w:val="22"/>
        </w:rPr>
        <w:t xml:space="preserve"> and laws continued to evolve (Violence </w:t>
      </w:r>
      <w:proofErr w:type="gramStart"/>
      <w:r w:rsidRPr="0043186E">
        <w:rPr>
          <w:rFonts w:ascii="Calibri" w:hAnsi="Calibri"/>
          <w:sz w:val="22"/>
          <w:szCs w:val="22"/>
        </w:rPr>
        <w:t>Against</w:t>
      </w:r>
      <w:proofErr w:type="gramEnd"/>
      <w:r w:rsidRPr="0043186E">
        <w:rPr>
          <w:rFonts w:ascii="Calibri" w:hAnsi="Calibri"/>
          <w:sz w:val="22"/>
          <w:szCs w:val="22"/>
        </w:rPr>
        <w:t xml:space="preserve"> Women Act, Campus </w:t>
      </w:r>
      <w:proofErr w:type="spellStart"/>
      <w:r w:rsidRPr="0043186E">
        <w:rPr>
          <w:rFonts w:ascii="Calibri" w:hAnsi="Calibri"/>
          <w:sz w:val="22"/>
          <w:szCs w:val="22"/>
        </w:rPr>
        <w:t>SaVE</w:t>
      </w:r>
      <w:proofErr w:type="spellEnd"/>
      <w:r w:rsidRPr="0043186E">
        <w:rPr>
          <w:rFonts w:ascii="Calibri" w:hAnsi="Calibri"/>
          <w:sz w:val="22"/>
          <w:szCs w:val="22"/>
        </w:rPr>
        <w:t xml:space="preserve"> Act in 2014). Baylor’s Title IX office, with three full-time staff, continues to seek opportunities to enhance our efforts to ensure student safety.</w:t>
      </w:r>
    </w:p>
    <w:p w14:paraId="01CDB857" w14:textId="77777777" w:rsidR="00153535" w:rsidRDefault="00153535" w:rsidP="0043186E">
      <w:pPr>
        <w:pStyle w:val="NoSpacing"/>
        <w:rPr>
          <w:rFonts w:ascii="Calibri" w:hAnsi="Calibri"/>
          <w:b/>
          <w:sz w:val="22"/>
          <w:szCs w:val="22"/>
        </w:rPr>
      </w:pPr>
    </w:p>
    <w:p w14:paraId="005666E9" w14:textId="77777777" w:rsidR="00762412" w:rsidRDefault="00762412" w:rsidP="0043186E">
      <w:pPr>
        <w:pStyle w:val="NoSpacing"/>
        <w:rPr>
          <w:rFonts w:ascii="Calibri" w:hAnsi="Calibri"/>
          <w:b/>
          <w:sz w:val="22"/>
          <w:szCs w:val="22"/>
        </w:rPr>
      </w:pPr>
    </w:p>
    <w:p w14:paraId="2B4533E2" w14:textId="5FF69D76" w:rsidR="009E7B8F" w:rsidRPr="0043186E" w:rsidRDefault="00B979A6" w:rsidP="0043186E">
      <w:pPr>
        <w:pStyle w:val="NoSpacing"/>
        <w:rPr>
          <w:rFonts w:ascii="Calibri" w:hAnsi="Calibri"/>
          <w:b/>
          <w:sz w:val="22"/>
          <w:szCs w:val="22"/>
        </w:rPr>
      </w:pPr>
      <w:r>
        <w:rPr>
          <w:rFonts w:ascii="Calibri" w:hAnsi="Calibri"/>
          <w:b/>
          <w:sz w:val="22"/>
          <w:szCs w:val="22"/>
        </w:rPr>
        <w:lastRenderedPageBreak/>
        <w:t xml:space="preserve">Q: A sexual assault is a crime.  </w:t>
      </w:r>
      <w:r w:rsidR="009E7B8F" w:rsidRPr="0043186E">
        <w:rPr>
          <w:rFonts w:ascii="Calibri" w:hAnsi="Calibri"/>
          <w:b/>
          <w:sz w:val="22"/>
          <w:szCs w:val="22"/>
        </w:rPr>
        <w:t xml:space="preserve">What is the difference between </w:t>
      </w:r>
      <w:r>
        <w:rPr>
          <w:rFonts w:ascii="Calibri" w:hAnsi="Calibri"/>
          <w:b/>
          <w:sz w:val="22"/>
          <w:szCs w:val="22"/>
        </w:rPr>
        <w:t>what a university can do in its investigation of an alleged sexual assault and what a criminal investigator can do?</w:t>
      </w:r>
    </w:p>
    <w:p w14:paraId="18E43787" w14:textId="77777777" w:rsidR="00D85632" w:rsidRDefault="00D85632" w:rsidP="00272238">
      <w:pPr>
        <w:pStyle w:val="NoSpacing"/>
        <w:rPr>
          <w:rFonts w:ascii="Calibri" w:hAnsi="Calibri"/>
          <w:sz w:val="22"/>
          <w:szCs w:val="22"/>
        </w:rPr>
      </w:pPr>
    </w:p>
    <w:p w14:paraId="0632E208" w14:textId="77777777" w:rsidR="00272238" w:rsidRDefault="009E276B" w:rsidP="00272238">
      <w:pPr>
        <w:pStyle w:val="NoSpacing"/>
        <w:rPr>
          <w:rFonts w:ascii="Calibri" w:hAnsi="Calibri"/>
          <w:sz w:val="22"/>
          <w:szCs w:val="22"/>
        </w:rPr>
      </w:pPr>
      <w:r w:rsidRPr="0043186E">
        <w:rPr>
          <w:rFonts w:ascii="Calibri" w:hAnsi="Calibri"/>
          <w:sz w:val="22"/>
          <w:szCs w:val="22"/>
        </w:rPr>
        <w:t xml:space="preserve">A. </w:t>
      </w:r>
      <w:r w:rsidR="00853CDC" w:rsidRPr="0043186E">
        <w:rPr>
          <w:rFonts w:ascii="Calibri" w:hAnsi="Calibri"/>
          <w:sz w:val="22"/>
          <w:szCs w:val="22"/>
        </w:rPr>
        <w:t>There are significant differences between a university’s administration process and a criminal process.</w:t>
      </w:r>
    </w:p>
    <w:p w14:paraId="6915F1EB" w14:textId="77777777" w:rsidR="00D85632" w:rsidRDefault="00D85632" w:rsidP="00272238">
      <w:pPr>
        <w:pStyle w:val="NoSpacing"/>
        <w:rPr>
          <w:rFonts w:ascii="Calibri" w:hAnsi="Calibri"/>
          <w:sz w:val="22"/>
          <w:szCs w:val="22"/>
        </w:rPr>
      </w:pPr>
    </w:p>
    <w:p w14:paraId="2D46B2DE" w14:textId="3C6859B8" w:rsidR="00132CAE" w:rsidRDefault="00132CAE" w:rsidP="00132CAE">
      <w:pPr>
        <w:pStyle w:val="NoSpacing"/>
        <w:rPr>
          <w:rFonts w:ascii="Calibri" w:hAnsi="Calibri"/>
          <w:sz w:val="22"/>
        </w:rPr>
      </w:pPr>
      <w:r>
        <w:rPr>
          <w:rFonts w:ascii="Calibri" w:hAnsi="Calibri"/>
          <w:sz w:val="22"/>
        </w:rPr>
        <w:t xml:space="preserve">University disciplinary investigations of accusations of </w:t>
      </w:r>
      <w:r w:rsidR="00643FF8">
        <w:rPr>
          <w:rFonts w:ascii="Calibri" w:hAnsi="Calibri"/>
          <w:sz w:val="22"/>
        </w:rPr>
        <w:t xml:space="preserve">sexual assault </w:t>
      </w:r>
      <w:r>
        <w:rPr>
          <w:rFonts w:ascii="Calibri" w:hAnsi="Calibri"/>
          <w:sz w:val="22"/>
          <w:szCs w:val="22"/>
        </w:rPr>
        <w:t xml:space="preserve">are </w:t>
      </w:r>
      <w:r>
        <w:rPr>
          <w:rFonts w:ascii="Calibri" w:hAnsi="Calibri"/>
          <w:sz w:val="22"/>
        </w:rPr>
        <w:t>governed by f</w:t>
      </w:r>
      <w:r w:rsidRPr="00F15BA1">
        <w:rPr>
          <w:rFonts w:ascii="Calibri" w:hAnsi="Calibri"/>
          <w:sz w:val="22"/>
        </w:rPr>
        <w:t xml:space="preserve">ederal law. </w:t>
      </w:r>
    </w:p>
    <w:p w14:paraId="266B5EEC" w14:textId="77777777" w:rsidR="00BC42DB" w:rsidRDefault="00BC42DB" w:rsidP="00BC42DB">
      <w:pPr>
        <w:pStyle w:val="NoSpacing"/>
        <w:rPr>
          <w:rFonts w:ascii="Calibri" w:hAnsi="Calibri"/>
          <w:sz w:val="22"/>
        </w:rPr>
      </w:pPr>
    </w:p>
    <w:p w14:paraId="00255662" w14:textId="11CC927C" w:rsidR="00BC42DB" w:rsidRPr="00F468EB" w:rsidRDefault="00BC42DB" w:rsidP="00BC42DB">
      <w:pPr>
        <w:pStyle w:val="NoSpacing"/>
        <w:rPr>
          <w:rFonts w:ascii="Calibri" w:hAnsi="Calibri"/>
          <w:sz w:val="22"/>
        </w:rPr>
      </w:pPr>
      <w:r>
        <w:rPr>
          <w:rFonts w:ascii="Calibri" w:hAnsi="Calibri"/>
          <w:sz w:val="22"/>
        </w:rPr>
        <w:t>The Office for Civil Rights (OCR)</w:t>
      </w:r>
      <w:r w:rsidRPr="00F468EB">
        <w:rPr>
          <w:rFonts w:ascii="Calibri" w:hAnsi="Calibri"/>
          <w:sz w:val="22"/>
        </w:rPr>
        <w:t xml:space="preserve"> </w:t>
      </w:r>
      <w:r w:rsidR="00806CCF">
        <w:rPr>
          <w:rFonts w:ascii="Calibri" w:hAnsi="Calibri"/>
          <w:sz w:val="22"/>
        </w:rPr>
        <w:t>for the U</w:t>
      </w:r>
      <w:r w:rsidR="001E1589">
        <w:rPr>
          <w:rFonts w:ascii="Calibri" w:hAnsi="Calibri"/>
          <w:sz w:val="22"/>
        </w:rPr>
        <w:t>.</w:t>
      </w:r>
      <w:r w:rsidR="00806CCF">
        <w:rPr>
          <w:rFonts w:ascii="Calibri" w:hAnsi="Calibri"/>
          <w:sz w:val="22"/>
        </w:rPr>
        <w:t>S</w:t>
      </w:r>
      <w:r w:rsidR="001E1589">
        <w:rPr>
          <w:rFonts w:ascii="Calibri" w:hAnsi="Calibri"/>
          <w:sz w:val="22"/>
        </w:rPr>
        <w:t>.</w:t>
      </w:r>
      <w:r w:rsidR="00806CCF">
        <w:rPr>
          <w:rFonts w:ascii="Calibri" w:hAnsi="Calibri"/>
          <w:sz w:val="22"/>
        </w:rPr>
        <w:t xml:space="preserve"> Department of Education </w:t>
      </w:r>
      <w:r w:rsidRPr="00F468EB">
        <w:rPr>
          <w:rFonts w:ascii="Calibri" w:hAnsi="Calibri"/>
          <w:sz w:val="22"/>
        </w:rPr>
        <w:t xml:space="preserve">noted in the October 2014 Final Rule for the Violence </w:t>
      </w:r>
      <w:proofErr w:type="gramStart"/>
      <w:r w:rsidRPr="00F468EB">
        <w:rPr>
          <w:rFonts w:ascii="Calibri" w:hAnsi="Calibri"/>
          <w:sz w:val="22"/>
        </w:rPr>
        <w:t>Against</w:t>
      </w:r>
      <w:proofErr w:type="gramEnd"/>
      <w:r w:rsidRPr="00F468EB">
        <w:rPr>
          <w:rFonts w:ascii="Calibri" w:hAnsi="Calibri"/>
          <w:sz w:val="22"/>
        </w:rPr>
        <w:t xml:space="preserve"> Women Act </w:t>
      </w:r>
      <w:r>
        <w:rPr>
          <w:rFonts w:ascii="Calibri" w:hAnsi="Calibri"/>
          <w:sz w:val="22"/>
        </w:rPr>
        <w:t xml:space="preserve">(VAWA) </w:t>
      </w:r>
      <w:r w:rsidRPr="00F468EB">
        <w:rPr>
          <w:rFonts w:ascii="Calibri" w:hAnsi="Calibri"/>
          <w:sz w:val="22"/>
        </w:rPr>
        <w:t xml:space="preserve">that institutions are not making determinations of criminal responsibility but are determining whether the institution’s own rules have been violated. </w:t>
      </w:r>
    </w:p>
    <w:p w14:paraId="336FAE7E" w14:textId="77777777" w:rsidR="00BC42DB" w:rsidRDefault="00BC42DB" w:rsidP="00AB16F8">
      <w:pPr>
        <w:pStyle w:val="NoSpacing"/>
        <w:rPr>
          <w:rFonts w:ascii="Calibri" w:hAnsi="Calibri"/>
          <w:sz w:val="22"/>
        </w:rPr>
      </w:pPr>
    </w:p>
    <w:p w14:paraId="5E85D6CA" w14:textId="2413050D" w:rsidR="009D0272" w:rsidRDefault="009D0272" w:rsidP="009D0272">
      <w:pPr>
        <w:pStyle w:val="NoSpacing"/>
        <w:rPr>
          <w:rFonts w:ascii="Calibri" w:hAnsi="Calibri"/>
          <w:sz w:val="22"/>
          <w:szCs w:val="22"/>
        </w:rPr>
      </w:pPr>
      <w:r>
        <w:rPr>
          <w:rFonts w:ascii="Calibri" w:hAnsi="Calibri"/>
          <w:sz w:val="22"/>
          <w:szCs w:val="22"/>
        </w:rPr>
        <w:t>A university’s investigation is different from the standards used in a criminal investigation.</w:t>
      </w:r>
      <w:r w:rsidR="00806CCF">
        <w:rPr>
          <w:rFonts w:ascii="Calibri" w:hAnsi="Calibri"/>
          <w:sz w:val="22"/>
          <w:szCs w:val="22"/>
        </w:rPr>
        <w:t xml:space="preserve">  Further, should the University wish to sanction a student for conduct violating its policy, the maximum penalty it can a</w:t>
      </w:r>
      <w:r w:rsidR="001E1589">
        <w:rPr>
          <w:rFonts w:ascii="Calibri" w:hAnsi="Calibri"/>
          <w:sz w:val="22"/>
          <w:szCs w:val="22"/>
        </w:rPr>
        <w:t>ss</w:t>
      </w:r>
      <w:r w:rsidR="00806CCF">
        <w:rPr>
          <w:rFonts w:ascii="Calibri" w:hAnsi="Calibri"/>
          <w:sz w:val="22"/>
          <w:szCs w:val="22"/>
        </w:rPr>
        <w:t xml:space="preserve">ess against the student is </w:t>
      </w:r>
      <w:proofErr w:type="gramStart"/>
      <w:r w:rsidR="00806CCF">
        <w:rPr>
          <w:rFonts w:ascii="Calibri" w:hAnsi="Calibri"/>
          <w:sz w:val="22"/>
          <w:szCs w:val="22"/>
        </w:rPr>
        <w:t>expulsion.</w:t>
      </w:r>
      <w:proofErr w:type="gramEnd"/>
    </w:p>
    <w:p w14:paraId="4F8DE264" w14:textId="77777777" w:rsidR="009D0272" w:rsidRDefault="009D0272" w:rsidP="00AB16F8">
      <w:pPr>
        <w:pStyle w:val="NoSpacing"/>
        <w:rPr>
          <w:rFonts w:ascii="Calibri" w:hAnsi="Calibri"/>
          <w:sz w:val="22"/>
        </w:rPr>
      </w:pPr>
    </w:p>
    <w:p w14:paraId="1132FC75" w14:textId="777028B3" w:rsidR="00AB16F8" w:rsidRDefault="00AB16F8" w:rsidP="00AB16F8">
      <w:pPr>
        <w:pStyle w:val="NoSpacing"/>
        <w:rPr>
          <w:rFonts w:ascii="Calibri" w:hAnsi="Calibri"/>
          <w:sz w:val="22"/>
        </w:rPr>
      </w:pPr>
      <w:r w:rsidRPr="00F15BA1">
        <w:rPr>
          <w:rFonts w:ascii="Calibri" w:hAnsi="Calibri"/>
          <w:sz w:val="22"/>
        </w:rPr>
        <w:t xml:space="preserve">Under Title IX, </w:t>
      </w:r>
      <w:r>
        <w:rPr>
          <w:rFonts w:ascii="Calibri" w:hAnsi="Calibri"/>
          <w:sz w:val="22"/>
        </w:rPr>
        <w:t xml:space="preserve">schools </w:t>
      </w:r>
      <w:r w:rsidR="00CD54AF">
        <w:rPr>
          <w:rFonts w:ascii="Calibri" w:hAnsi="Calibri"/>
          <w:sz w:val="22"/>
        </w:rPr>
        <w:t xml:space="preserve">typically </w:t>
      </w:r>
      <w:r>
        <w:rPr>
          <w:rFonts w:ascii="Calibri" w:hAnsi="Calibri"/>
          <w:sz w:val="22"/>
        </w:rPr>
        <w:t>must c</w:t>
      </w:r>
      <w:r w:rsidRPr="00F15BA1">
        <w:rPr>
          <w:rFonts w:ascii="Calibri" w:hAnsi="Calibri"/>
          <w:sz w:val="22"/>
        </w:rPr>
        <w:t xml:space="preserve">omplete </w:t>
      </w:r>
      <w:r w:rsidR="00CD54AF">
        <w:rPr>
          <w:rFonts w:ascii="Calibri" w:hAnsi="Calibri"/>
          <w:sz w:val="22"/>
        </w:rPr>
        <w:t>an</w:t>
      </w:r>
      <w:r w:rsidRPr="00F15BA1">
        <w:rPr>
          <w:rFonts w:ascii="Calibri" w:hAnsi="Calibri"/>
          <w:sz w:val="22"/>
        </w:rPr>
        <w:t xml:space="preserve"> investigation</w:t>
      </w:r>
      <w:r>
        <w:rPr>
          <w:rFonts w:ascii="Calibri" w:hAnsi="Calibri"/>
          <w:sz w:val="22"/>
        </w:rPr>
        <w:t xml:space="preserve"> in </w:t>
      </w:r>
      <w:r w:rsidRPr="00F15BA1">
        <w:rPr>
          <w:rFonts w:ascii="Calibri" w:hAnsi="Calibri"/>
          <w:sz w:val="22"/>
        </w:rPr>
        <w:t>60 calen</w:t>
      </w:r>
      <w:r>
        <w:rPr>
          <w:rFonts w:ascii="Calibri" w:hAnsi="Calibri"/>
          <w:sz w:val="22"/>
        </w:rPr>
        <w:t>dar days from the day of report.</w:t>
      </w:r>
      <w:r w:rsidR="009D0272">
        <w:rPr>
          <w:rFonts w:ascii="Calibri" w:hAnsi="Calibri"/>
          <w:sz w:val="22"/>
        </w:rPr>
        <w:t xml:space="preserve"> A university’s investigation also differs from a criminal investigation in that:</w:t>
      </w:r>
    </w:p>
    <w:p w14:paraId="6C0BDE15" w14:textId="11F1C9B8" w:rsidR="00F15BA1" w:rsidRDefault="00F15BA1" w:rsidP="00F15BA1">
      <w:pPr>
        <w:pStyle w:val="NoSpacing"/>
        <w:numPr>
          <w:ilvl w:val="0"/>
          <w:numId w:val="11"/>
        </w:numPr>
        <w:rPr>
          <w:rFonts w:ascii="Calibri" w:hAnsi="Calibri"/>
          <w:sz w:val="22"/>
          <w:szCs w:val="22"/>
        </w:rPr>
      </w:pPr>
      <w:r w:rsidRPr="0043186E">
        <w:rPr>
          <w:rFonts w:ascii="Calibri" w:hAnsi="Calibri"/>
          <w:sz w:val="22"/>
          <w:szCs w:val="22"/>
        </w:rPr>
        <w:t xml:space="preserve">Universities </w:t>
      </w:r>
      <w:r>
        <w:rPr>
          <w:rFonts w:ascii="Calibri" w:hAnsi="Calibri"/>
          <w:sz w:val="22"/>
          <w:szCs w:val="22"/>
        </w:rPr>
        <w:t xml:space="preserve">do not have subpoena power. A university can ask but not compel persons unrelated </w:t>
      </w:r>
      <w:r w:rsidR="007C5D9C">
        <w:rPr>
          <w:rFonts w:ascii="Calibri" w:hAnsi="Calibri"/>
          <w:sz w:val="22"/>
          <w:szCs w:val="22"/>
        </w:rPr>
        <w:t xml:space="preserve">to the university </w:t>
      </w:r>
      <w:r>
        <w:rPr>
          <w:rFonts w:ascii="Calibri" w:hAnsi="Calibri"/>
          <w:sz w:val="22"/>
          <w:szCs w:val="22"/>
        </w:rPr>
        <w:t>to participate in its administrative processes.</w:t>
      </w:r>
    </w:p>
    <w:p w14:paraId="1E53B3B5" w14:textId="77777777" w:rsidR="00F15BA1" w:rsidRPr="0043186E" w:rsidRDefault="00F15BA1" w:rsidP="00F15BA1">
      <w:pPr>
        <w:pStyle w:val="NoSpacing"/>
        <w:numPr>
          <w:ilvl w:val="0"/>
          <w:numId w:val="11"/>
        </w:numPr>
        <w:rPr>
          <w:rFonts w:ascii="Calibri" w:hAnsi="Calibri"/>
          <w:sz w:val="22"/>
          <w:szCs w:val="22"/>
        </w:rPr>
      </w:pPr>
      <w:r w:rsidRPr="0043186E">
        <w:rPr>
          <w:rFonts w:ascii="Calibri" w:hAnsi="Calibri"/>
          <w:sz w:val="22"/>
          <w:szCs w:val="22"/>
        </w:rPr>
        <w:t>Universities cannot require mental health professionals, counselors or physicians to discl</w:t>
      </w:r>
      <w:r>
        <w:rPr>
          <w:rFonts w:ascii="Calibri" w:hAnsi="Calibri"/>
          <w:sz w:val="22"/>
          <w:szCs w:val="22"/>
        </w:rPr>
        <w:t>ose information about victims</w:t>
      </w:r>
      <w:r w:rsidR="00542A5F">
        <w:rPr>
          <w:rFonts w:ascii="Calibri" w:hAnsi="Calibri"/>
          <w:sz w:val="22"/>
          <w:szCs w:val="22"/>
        </w:rPr>
        <w:t>.</w:t>
      </w:r>
    </w:p>
    <w:p w14:paraId="0C21E5C6" w14:textId="77777777" w:rsidR="00F15BA1" w:rsidRPr="00F15BA1" w:rsidRDefault="00F15BA1" w:rsidP="00F15BA1">
      <w:pPr>
        <w:pStyle w:val="NoSpacing"/>
        <w:numPr>
          <w:ilvl w:val="0"/>
          <w:numId w:val="11"/>
        </w:numPr>
        <w:rPr>
          <w:rFonts w:ascii="Calibri" w:hAnsi="Calibri"/>
          <w:sz w:val="22"/>
          <w:szCs w:val="22"/>
        </w:rPr>
      </w:pPr>
      <w:r w:rsidRPr="0043186E">
        <w:rPr>
          <w:rFonts w:ascii="Calibri" w:hAnsi="Calibri"/>
          <w:sz w:val="22"/>
          <w:szCs w:val="22"/>
        </w:rPr>
        <w:t>Universities cannot compel w</w:t>
      </w:r>
      <w:r>
        <w:rPr>
          <w:rFonts w:ascii="Calibri" w:hAnsi="Calibri"/>
          <w:sz w:val="22"/>
          <w:szCs w:val="22"/>
        </w:rPr>
        <w:t>itnesses to testify under oath.</w:t>
      </w:r>
    </w:p>
    <w:p w14:paraId="0B788731" w14:textId="77777777" w:rsidR="00F468EB" w:rsidRDefault="00F468EB" w:rsidP="0062565B">
      <w:pPr>
        <w:pStyle w:val="NoSpacing"/>
        <w:rPr>
          <w:rFonts w:ascii="Calibri" w:hAnsi="Calibri"/>
          <w:sz w:val="22"/>
        </w:rPr>
      </w:pPr>
    </w:p>
    <w:p w14:paraId="0EA0A2AC" w14:textId="66380D72" w:rsidR="00254821" w:rsidRDefault="00BC42DB" w:rsidP="00254821">
      <w:pPr>
        <w:pStyle w:val="NoSpacing"/>
        <w:rPr>
          <w:rFonts w:ascii="Calibri" w:hAnsi="Calibri"/>
          <w:sz w:val="22"/>
          <w:szCs w:val="22"/>
        </w:rPr>
      </w:pPr>
      <w:r w:rsidRPr="00BC42DB">
        <w:rPr>
          <w:rFonts w:ascii="Calibri" w:hAnsi="Calibri"/>
          <w:sz w:val="22"/>
          <w:szCs w:val="22"/>
        </w:rPr>
        <w:t>Baylor University</w:t>
      </w:r>
      <w:r w:rsidR="00881C51">
        <w:rPr>
          <w:rFonts w:ascii="Calibri" w:hAnsi="Calibri"/>
          <w:sz w:val="22"/>
          <w:szCs w:val="22"/>
        </w:rPr>
        <w:t>’s</w:t>
      </w:r>
      <w:r w:rsidR="00F468EB">
        <w:rPr>
          <w:rFonts w:ascii="Calibri" w:hAnsi="Calibri"/>
          <w:sz w:val="22"/>
          <w:szCs w:val="22"/>
        </w:rPr>
        <w:t xml:space="preserve"> process is overseen by highly trained higher education administrators who are charged with conducting a fair, timely, equitable and caring investigatory process.</w:t>
      </w:r>
      <w:r w:rsidR="00254821" w:rsidRPr="00254821">
        <w:rPr>
          <w:rFonts w:ascii="Calibri" w:hAnsi="Calibri"/>
          <w:sz w:val="22"/>
          <w:szCs w:val="22"/>
        </w:rPr>
        <w:t xml:space="preserve"> </w:t>
      </w:r>
      <w:r w:rsidR="00254821">
        <w:rPr>
          <w:rFonts w:ascii="Calibri" w:hAnsi="Calibri"/>
          <w:sz w:val="22"/>
          <w:szCs w:val="22"/>
        </w:rPr>
        <w:t>E</w:t>
      </w:r>
      <w:r w:rsidR="00254821" w:rsidRPr="0043186E">
        <w:rPr>
          <w:rFonts w:ascii="Calibri" w:hAnsi="Calibri"/>
          <w:sz w:val="22"/>
          <w:szCs w:val="22"/>
        </w:rPr>
        <w:t>v</w:t>
      </w:r>
      <w:r w:rsidR="00254821">
        <w:rPr>
          <w:rFonts w:ascii="Calibri" w:hAnsi="Calibri"/>
          <w:sz w:val="22"/>
          <w:szCs w:val="22"/>
        </w:rPr>
        <w:t>idence gathering, investigation</w:t>
      </w:r>
      <w:r w:rsidR="00254821" w:rsidRPr="0043186E">
        <w:rPr>
          <w:rFonts w:ascii="Calibri" w:hAnsi="Calibri"/>
          <w:sz w:val="22"/>
          <w:szCs w:val="22"/>
        </w:rPr>
        <w:t xml:space="preserve"> and final determination </w:t>
      </w:r>
      <w:r w:rsidR="00254821">
        <w:rPr>
          <w:rFonts w:ascii="Calibri" w:hAnsi="Calibri"/>
          <w:sz w:val="22"/>
          <w:szCs w:val="22"/>
        </w:rPr>
        <w:t>by a university may</w:t>
      </w:r>
      <w:r w:rsidR="00254821" w:rsidRPr="0043186E">
        <w:rPr>
          <w:rFonts w:ascii="Calibri" w:hAnsi="Calibri"/>
          <w:sz w:val="22"/>
          <w:szCs w:val="22"/>
        </w:rPr>
        <w:t xml:space="preserve"> often be made long before an arrest or criminal </w:t>
      </w:r>
      <w:r w:rsidR="00254821">
        <w:rPr>
          <w:rFonts w:ascii="Calibri" w:hAnsi="Calibri"/>
          <w:sz w:val="22"/>
          <w:szCs w:val="22"/>
        </w:rPr>
        <w:t>prosecution, if any, commences.</w:t>
      </w:r>
    </w:p>
    <w:p w14:paraId="29E7275D" w14:textId="709455B9" w:rsidR="00F468EB" w:rsidRPr="0043186E" w:rsidRDefault="00F468EB" w:rsidP="00F468EB">
      <w:pPr>
        <w:pStyle w:val="NoSpacing"/>
        <w:rPr>
          <w:rFonts w:ascii="Calibri" w:hAnsi="Calibri"/>
          <w:sz w:val="22"/>
          <w:szCs w:val="22"/>
        </w:rPr>
      </w:pPr>
    </w:p>
    <w:p w14:paraId="02FD4F68" w14:textId="77777777" w:rsidR="00F15BA1" w:rsidRDefault="00F15BA1" w:rsidP="0062565B">
      <w:pPr>
        <w:pStyle w:val="NoSpacing"/>
        <w:rPr>
          <w:rFonts w:ascii="Calibri" w:hAnsi="Calibri"/>
          <w:sz w:val="22"/>
          <w:szCs w:val="22"/>
        </w:rPr>
      </w:pPr>
    </w:p>
    <w:p w14:paraId="4ADC0865" w14:textId="77777777" w:rsidR="00F80512" w:rsidRDefault="00F80512" w:rsidP="00805A58">
      <w:pPr>
        <w:pStyle w:val="NoSpacing"/>
        <w:rPr>
          <w:rFonts w:asciiTheme="minorHAnsi" w:hAnsiTheme="minorHAnsi"/>
          <w:b/>
          <w:sz w:val="22"/>
          <w:szCs w:val="22"/>
        </w:rPr>
      </w:pPr>
      <w:r>
        <w:rPr>
          <w:rFonts w:asciiTheme="minorHAnsi" w:hAnsiTheme="minorHAnsi"/>
          <w:b/>
          <w:sz w:val="22"/>
          <w:szCs w:val="22"/>
        </w:rPr>
        <w:t xml:space="preserve">Q. </w:t>
      </w:r>
      <w:r w:rsidR="00BC42DB">
        <w:rPr>
          <w:rFonts w:asciiTheme="minorHAnsi" w:hAnsiTheme="minorHAnsi"/>
          <w:b/>
          <w:sz w:val="22"/>
          <w:szCs w:val="22"/>
        </w:rPr>
        <w:t>Are there any exceptions to the 60-day window?</w:t>
      </w:r>
    </w:p>
    <w:p w14:paraId="763AECB2" w14:textId="77777777" w:rsidR="00F80512" w:rsidRDefault="00F80512" w:rsidP="00805A58">
      <w:pPr>
        <w:pStyle w:val="NoSpacing"/>
        <w:rPr>
          <w:rFonts w:asciiTheme="minorHAnsi" w:hAnsiTheme="minorHAnsi"/>
          <w:b/>
          <w:sz w:val="22"/>
          <w:szCs w:val="22"/>
        </w:rPr>
      </w:pPr>
    </w:p>
    <w:p w14:paraId="4D976FFC" w14:textId="34AB8FC1" w:rsidR="00F80512" w:rsidRPr="00291865" w:rsidRDefault="007C5D9C" w:rsidP="00F80512">
      <w:pPr>
        <w:pStyle w:val="NoSpacing"/>
        <w:rPr>
          <w:rFonts w:ascii="Calibri" w:hAnsi="Calibri"/>
          <w:sz w:val="22"/>
          <w:szCs w:val="22"/>
        </w:rPr>
      </w:pPr>
      <w:r>
        <w:rPr>
          <w:rFonts w:ascii="Calibri" w:hAnsi="Calibri"/>
          <w:sz w:val="22"/>
        </w:rPr>
        <w:t xml:space="preserve">A. </w:t>
      </w:r>
      <w:r w:rsidR="00F80512">
        <w:rPr>
          <w:rFonts w:ascii="Calibri" w:hAnsi="Calibri"/>
          <w:sz w:val="22"/>
        </w:rPr>
        <w:t xml:space="preserve">The </w:t>
      </w:r>
      <w:r w:rsidR="00F80512" w:rsidRPr="0043186E">
        <w:rPr>
          <w:rFonts w:ascii="Calibri" w:hAnsi="Calibri"/>
          <w:sz w:val="22"/>
          <w:szCs w:val="22"/>
        </w:rPr>
        <w:t>60-day window</w:t>
      </w:r>
      <w:r w:rsidR="00F80512">
        <w:rPr>
          <w:rFonts w:ascii="Calibri" w:hAnsi="Calibri"/>
          <w:sz w:val="22"/>
          <w:szCs w:val="22"/>
        </w:rPr>
        <w:t xml:space="preserve"> is </w:t>
      </w:r>
      <w:r w:rsidR="00F80512" w:rsidRPr="0043186E">
        <w:rPr>
          <w:rFonts w:ascii="Calibri" w:hAnsi="Calibri"/>
          <w:sz w:val="22"/>
          <w:szCs w:val="22"/>
        </w:rPr>
        <w:t>the typical expectation. Any investigation may take longer under certain circumstances.</w:t>
      </w:r>
      <w:r w:rsidR="00BC42DB">
        <w:rPr>
          <w:rFonts w:ascii="Calibri" w:hAnsi="Calibri"/>
          <w:sz w:val="22"/>
          <w:szCs w:val="22"/>
        </w:rPr>
        <w:t xml:space="preserve"> </w:t>
      </w:r>
      <w:r w:rsidR="00F80512" w:rsidRPr="0043186E">
        <w:rPr>
          <w:rFonts w:ascii="Calibri" w:hAnsi="Calibri"/>
          <w:sz w:val="22"/>
        </w:rPr>
        <w:t xml:space="preserve">The Office for Civil Rights </w:t>
      </w:r>
      <w:r w:rsidR="00BC42DB">
        <w:rPr>
          <w:rFonts w:ascii="Calibri" w:hAnsi="Calibri"/>
          <w:sz w:val="22"/>
        </w:rPr>
        <w:t>(OCR)</w:t>
      </w:r>
      <w:r w:rsidR="004A4FAF">
        <w:rPr>
          <w:rFonts w:ascii="Calibri" w:hAnsi="Calibri"/>
          <w:sz w:val="22"/>
        </w:rPr>
        <w:t xml:space="preserve"> says that it will take</w:t>
      </w:r>
      <w:r w:rsidR="00F80512" w:rsidRPr="0043186E">
        <w:rPr>
          <w:rFonts w:ascii="Calibri" w:hAnsi="Calibri"/>
          <w:sz w:val="22"/>
        </w:rPr>
        <w:t xml:space="preserve"> into consideration the complexity of the investigation and the severity and extent of the harassment or sexual violence when determining if a complaint resolution has been timely.</w:t>
      </w:r>
      <w:r w:rsidR="00F80512">
        <w:rPr>
          <w:rFonts w:ascii="Calibri" w:hAnsi="Calibri"/>
          <w:sz w:val="22"/>
        </w:rPr>
        <w:t xml:space="preserve"> </w:t>
      </w:r>
      <w:r w:rsidR="00F80512">
        <w:rPr>
          <w:rFonts w:ascii="Calibri" w:hAnsi="Calibri"/>
          <w:sz w:val="22"/>
          <w:szCs w:val="22"/>
        </w:rPr>
        <w:t>While investigating cases of student conduct, t</w:t>
      </w:r>
      <w:r w:rsidR="00F80512" w:rsidRPr="0043186E">
        <w:rPr>
          <w:rFonts w:ascii="Calibri" w:hAnsi="Calibri"/>
          <w:sz w:val="22"/>
          <w:szCs w:val="22"/>
        </w:rPr>
        <w:t>he university has to be careful not to compromise a</w:t>
      </w:r>
      <w:r w:rsidR="004A4FAF">
        <w:rPr>
          <w:rFonts w:ascii="Calibri" w:hAnsi="Calibri"/>
          <w:sz w:val="22"/>
          <w:szCs w:val="22"/>
        </w:rPr>
        <w:t>ny</w:t>
      </w:r>
      <w:r w:rsidR="00F80512" w:rsidRPr="0043186E">
        <w:rPr>
          <w:rFonts w:ascii="Calibri" w:hAnsi="Calibri"/>
          <w:sz w:val="22"/>
          <w:szCs w:val="22"/>
        </w:rPr>
        <w:t xml:space="preserve"> criminal investigation conducted by </w:t>
      </w:r>
      <w:r w:rsidR="001E1589">
        <w:rPr>
          <w:rFonts w:ascii="Calibri" w:hAnsi="Calibri"/>
          <w:sz w:val="22"/>
          <w:szCs w:val="22"/>
        </w:rPr>
        <w:t>the City of Waco P</w:t>
      </w:r>
      <w:r w:rsidR="00F80512">
        <w:rPr>
          <w:rFonts w:ascii="Calibri" w:hAnsi="Calibri"/>
          <w:sz w:val="22"/>
          <w:szCs w:val="22"/>
        </w:rPr>
        <w:t xml:space="preserve">olice </w:t>
      </w:r>
      <w:r w:rsidR="001E1589">
        <w:rPr>
          <w:rFonts w:ascii="Calibri" w:hAnsi="Calibri"/>
          <w:sz w:val="22"/>
          <w:szCs w:val="22"/>
        </w:rPr>
        <w:t>D</w:t>
      </w:r>
      <w:r w:rsidR="00F80512">
        <w:rPr>
          <w:rFonts w:ascii="Calibri" w:hAnsi="Calibri"/>
          <w:sz w:val="22"/>
          <w:szCs w:val="22"/>
        </w:rPr>
        <w:t>epartment.</w:t>
      </w:r>
    </w:p>
    <w:p w14:paraId="45AFF22F" w14:textId="77777777" w:rsidR="00F80512" w:rsidRDefault="00F80512" w:rsidP="00F80512">
      <w:pPr>
        <w:pStyle w:val="NoSpacing"/>
        <w:rPr>
          <w:rFonts w:ascii="Calibri" w:hAnsi="Calibri"/>
          <w:sz w:val="22"/>
          <w:szCs w:val="22"/>
        </w:rPr>
      </w:pPr>
    </w:p>
    <w:p w14:paraId="10B1DEEB" w14:textId="77777777" w:rsidR="00470CEC" w:rsidRDefault="00470CEC" w:rsidP="00F80512">
      <w:pPr>
        <w:pStyle w:val="NoSpacing"/>
        <w:rPr>
          <w:rFonts w:ascii="Calibri" w:hAnsi="Calibri"/>
          <w:sz w:val="22"/>
          <w:szCs w:val="22"/>
        </w:rPr>
      </w:pPr>
    </w:p>
    <w:p w14:paraId="09EAD489" w14:textId="0E219A53" w:rsidR="00D85632" w:rsidRPr="00805A58" w:rsidRDefault="00805A58" w:rsidP="00805A58">
      <w:pPr>
        <w:pStyle w:val="NoSpacing"/>
        <w:rPr>
          <w:rFonts w:asciiTheme="minorHAnsi" w:hAnsiTheme="minorHAnsi"/>
          <w:b/>
          <w:sz w:val="22"/>
          <w:szCs w:val="22"/>
        </w:rPr>
      </w:pPr>
      <w:r>
        <w:rPr>
          <w:rFonts w:asciiTheme="minorHAnsi" w:hAnsiTheme="minorHAnsi"/>
          <w:b/>
          <w:sz w:val="22"/>
          <w:szCs w:val="22"/>
        </w:rPr>
        <w:t xml:space="preserve">Q. </w:t>
      </w:r>
      <w:r w:rsidR="00132CAE">
        <w:rPr>
          <w:rFonts w:asciiTheme="minorHAnsi" w:hAnsiTheme="minorHAnsi"/>
          <w:b/>
          <w:sz w:val="22"/>
          <w:szCs w:val="22"/>
        </w:rPr>
        <w:t>In cases of sexual ass</w:t>
      </w:r>
      <w:r w:rsidR="00E71C2A">
        <w:rPr>
          <w:rFonts w:asciiTheme="minorHAnsi" w:hAnsiTheme="minorHAnsi"/>
          <w:b/>
          <w:sz w:val="22"/>
          <w:szCs w:val="22"/>
        </w:rPr>
        <w:t>ault, victims sometimes</w:t>
      </w:r>
      <w:r w:rsidR="00132CAE">
        <w:rPr>
          <w:rFonts w:asciiTheme="minorHAnsi" w:hAnsiTheme="minorHAnsi"/>
          <w:b/>
          <w:sz w:val="22"/>
          <w:szCs w:val="22"/>
        </w:rPr>
        <w:t xml:space="preserve"> submit to a SANE </w:t>
      </w:r>
      <w:r w:rsidR="001E1589">
        <w:rPr>
          <w:rFonts w:asciiTheme="minorHAnsi" w:hAnsiTheme="minorHAnsi"/>
          <w:b/>
          <w:sz w:val="22"/>
          <w:szCs w:val="22"/>
        </w:rPr>
        <w:t>(Sexual Assault Nurse Examiner) exam</w:t>
      </w:r>
      <w:r w:rsidR="00132CAE">
        <w:rPr>
          <w:rFonts w:asciiTheme="minorHAnsi" w:hAnsiTheme="minorHAnsi"/>
          <w:b/>
          <w:sz w:val="22"/>
          <w:szCs w:val="22"/>
        </w:rPr>
        <w:t xml:space="preserve">, often referred to as a </w:t>
      </w:r>
      <w:r w:rsidR="00E71C2A">
        <w:rPr>
          <w:rFonts w:asciiTheme="minorHAnsi" w:hAnsiTheme="minorHAnsi"/>
          <w:b/>
          <w:sz w:val="22"/>
          <w:szCs w:val="22"/>
        </w:rPr>
        <w:t xml:space="preserve">rape kit.  </w:t>
      </w:r>
      <w:r w:rsidR="00D85632" w:rsidRPr="00805A58">
        <w:rPr>
          <w:rFonts w:asciiTheme="minorHAnsi" w:hAnsiTheme="minorHAnsi"/>
          <w:b/>
          <w:sz w:val="22"/>
          <w:szCs w:val="22"/>
        </w:rPr>
        <w:t xml:space="preserve">Does </w:t>
      </w:r>
      <w:r w:rsidR="00E71C2A">
        <w:rPr>
          <w:rFonts w:asciiTheme="minorHAnsi" w:hAnsiTheme="minorHAnsi"/>
          <w:b/>
          <w:sz w:val="22"/>
          <w:szCs w:val="22"/>
        </w:rPr>
        <w:t xml:space="preserve">a </w:t>
      </w:r>
      <w:r w:rsidR="00D85632" w:rsidRPr="00805A58">
        <w:rPr>
          <w:rFonts w:asciiTheme="minorHAnsi" w:hAnsiTheme="minorHAnsi"/>
          <w:b/>
          <w:sz w:val="22"/>
          <w:szCs w:val="22"/>
        </w:rPr>
        <w:t xml:space="preserve">Baylor </w:t>
      </w:r>
      <w:r w:rsidR="00E71C2A">
        <w:rPr>
          <w:rFonts w:asciiTheme="minorHAnsi" w:hAnsiTheme="minorHAnsi"/>
          <w:b/>
          <w:sz w:val="22"/>
          <w:szCs w:val="22"/>
        </w:rPr>
        <w:t xml:space="preserve">investigation </w:t>
      </w:r>
      <w:r w:rsidR="00D848D4">
        <w:rPr>
          <w:rFonts w:asciiTheme="minorHAnsi" w:hAnsiTheme="minorHAnsi"/>
          <w:b/>
          <w:sz w:val="22"/>
          <w:szCs w:val="22"/>
        </w:rPr>
        <w:t>include</w:t>
      </w:r>
      <w:r w:rsidR="00E71C2A">
        <w:rPr>
          <w:rFonts w:asciiTheme="minorHAnsi" w:hAnsiTheme="minorHAnsi"/>
          <w:b/>
          <w:sz w:val="22"/>
          <w:szCs w:val="22"/>
        </w:rPr>
        <w:t xml:space="preserve"> review of </w:t>
      </w:r>
      <w:r w:rsidR="00D85632" w:rsidRPr="00805A58">
        <w:rPr>
          <w:rFonts w:asciiTheme="minorHAnsi" w:hAnsiTheme="minorHAnsi"/>
          <w:b/>
          <w:sz w:val="22"/>
          <w:szCs w:val="22"/>
        </w:rPr>
        <w:t>SANE exam results, and if not, why</w:t>
      </w:r>
      <w:r w:rsidR="00D848D4">
        <w:rPr>
          <w:rFonts w:asciiTheme="minorHAnsi" w:hAnsiTheme="minorHAnsi"/>
          <w:b/>
          <w:sz w:val="22"/>
          <w:szCs w:val="22"/>
        </w:rPr>
        <w:t xml:space="preserve"> not</w:t>
      </w:r>
      <w:r w:rsidR="00D85632" w:rsidRPr="00805A58">
        <w:rPr>
          <w:rFonts w:asciiTheme="minorHAnsi" w:hAnsiTheme="minorHAnsi"/>
          <w:b/>
          <w:sz w:val="22"/>
          <w:szCs w:val="22"/>
        </w:rPr>
        <w:t>?</w:t>
      </w:r>
    </w:p>
    <w:p w14:paraId="10E84EFC" w14:textId="77777777" w:rsidR="00D85632" w:rsidRPr="00805A58" w:rsidRDefault="00D85632" w:rsidP="00805A58">
      <w:pPr>
        <w:pStyle w:val="NoSpacing"/>
        <w:rPr>
          <w:rFonts w:asciiTheme="minorHAnsi" w:hAnsiTheme="minorHAnsi"/>
          <w:sz w:val="22"/>
          <w:szCs w:val="22"/>
        </w:rPr>
      </w:pPr>
    </w:p>
    <w:p w14:paraId="3B2ACA67" w14:textId="3A3176D9" w:rsidR="00291865" w:rsidRDefault="007C5D9C" w:rsidP="00805A58">
      <w:pPr>
        <w:pStyle w:val="NoSpacing"/>
        <w:rPr>
          <w:rFonts w:asciiTheme="minorHAnsi" w:hAnsiTheme="minorHAnsi"/>
          <w:sz w:val="22"/>
          <w:szCs w:val="22"/>
        </w:rPr>
      </w:pPr>
      <w:r>
        <w:rPr>
          <w:rFonts w:asciiTheme="minorHAnsi" w:hAnsiTheme="minorHAnsi"/>
          <w:sz w:val="22"/>
          <w:szCs w:val="22"/>
        </w:rPr>
        <w:t xml:space="preserve">A. </w:t>
      </w:r>
      <w:r w:rsidR="00D85632" w:rsidRPr="00805A58">
        <w:rPr>
          <w:rFonts w:asciiTheme="minorHAnsi" w:hAnsiTheme="minorHAnsi"/>
          <w:sz w:val="22"/>
          <w:szCs w:val="22"/>
        </w:rPr>
        <w:t>According to Texas law, the SANE kit is not</w:t>
      </w:r>
      <w:r w:rsidR="00D848D4">
        <w:rPr>
          <w:rFonts w:asciiTheme="minorHAnsi" w:hAnsiTheme="minorHAnsi"/>
          <w:sz w:val="22"/>
          <w:szCs w:val="22"/>
        </w:rPr>
        <w:t xml:space="preserve"> a</w:t>
      </w:r>
      <w:r w:rsidR="00D85632" w:rsidRPr="00805A58">
        <w:rPr>
          <w:rFonts w:asciiTheme="minorHAnsi" w:hAnsiTheme="minorHAnsi"/>
          <w:sz w:val="22"/>
          <w:szCs w:val="22"/>
        </w:rPr>
        <w:t xml:space="preserve"> public record nor does it belong to the victim or to Baylor University. It is legal evidence and is under the control of the local District Attorney or local law enforcement. Law enforcement determines when the SANE kit should be processe</w:t>
      </w:r>
      <w:r w:rsidR="00291865">
        <w:rPr>
          <w:rFonts w:asciiTheme="minorHAnsi" w:hAnsiTheme="minorHAnsi"/>
          <w:sz w:val="22"/>
          <w:szCs w:val="22"/>
        </w:rPr>
        <w:t>d.</w:t>
      </w:r>
    </w:p>
    <w:p w14:paraId="73A39560" w14:textId="77777777" w:rsidR="00291865" w:rsidRDefault="00291865" w:rsidP="00805A58">
      <w:pPr>
        <w:pStyle w:val="NoSpacing"/>
        <w:rPr>
          <w:rFonts w:asciiTheme="minorHAnsi" w:hAnsiTheme="minorHAnsi"/>
          <w:sz w:val="22"/>
          <w:szCs w:val="22"/>
        </w:rPr>
      </w:pPr>
    </w:p>
    <w:p w14:paraId="65A67A69" w14:textId="782F843A" w:rsidR="00D85632" w:rsidRPr="00805A58" w:rsidRDefault="00D85632" w:rsidP="00805A58">
      <w:pPr>
        <w:pStyle w:val="NoSpacing"/>
        <w:rPr>
          <w:rFonts w:asciiTheme="minorHAnsi" w:hAnsiTheme="minorHAnsi"/>
          <w:sz w:val="22"/>
          <w:szCs w:val="22"/>
        </w:rPr>
      </w:pPr>
      <w:r w:rsidRPr="00805A58">
        <w:rPr>
          <w:rFonts w:asciiTheme="minorHAnsi" w:hAnsiTheme="minorHAnsi"/>
          <w:sz w:val="22"/>
          <w:szCs w:val="22"/>
        </w:rPr>
        <w:lastRenderedPageBreak/>
        <w:t>Baylor University understands that it is the practice in McLennan County that law enforcement does not process the SANE exam unless the victim has confirmed that he or she wishes to proceed with the criminal prosecution. After that confirmation has been received, Baylor University understands that processing the SANE exam may take up to an additional six months. Even then, the SANE exam is confidential</w:t>
      </w:r>
      <w:r w:rsidR="001E1589">
        <w:rPr>
          <w:rFonts w:asciiTheme="minorHAnsi" w:hAnsiTheme="minorHAnsi"/>
          <w:sz w:val="22"/>
          <w:szCs w:val="22"/>
        </w:rPr>
        <w:t xml:space="preserve"> and </w:t>
      </w:r>
      <w:r w:rsidRPr="00805A58">
        <w:rPr>
          <w:rFonts w:asciiTheme="minorHAnsi" w:hAnsiTheme="minorHAnsi"/>
          <w:sz w:val="22"/>
          <w:szCs w:val="22"/>
        </w:rPr>
        <w:t>not the property of the victim</w:t>
      </w:r>
      <w:r w:rsidR="006700DD">
        <w:rPr>
          <w:rFonts w:asciiTheme="minorHAnsi" w:hAnsiTheme="minorHAnsi"/>
          <w:sz w:val="22"/>
          <w:szCs w:val="22"/>
        </w:rPr>
        <w:t>.</w:t>
      </w:r>
    </w:p>
    <w:p w14:paraId="3EB2F5C5" w14:textId="77777777" w:rsidR="00D85632" w:rsidRPr="00805A58" w:rsidRDefault="00D85632" w:rsidP="00805A58">
      <w:pPr>
        <w:pStyle w:val="NoSpacing"/>
        <w:rPr>
          <w:rFonts w:asciiTheme="minorHAnsi" w:hAnsiTheme="minorHAnsi"/>
          <w:sz w:val="22"/>
          <w:szCs w:val="22"/>
        </w:rPr>
      </w:pPr>
    </w:p>
    <w:p w14:paraId="6931D99D" w14:textId="77777777" w:rsidR="00D85632" w:rsidRDefault="00D85632" w:rsidP="00805A58">
      <w:pPr>
        <w:pStyle w:val="NoSpacing"/>
        <w:rPr>
          <w:rFonts w:asciiTheme="minorHAnsi" w:hAnsiTheme="minorHAnsi"/>
          <w:sz w:val="22"/>
          <w:szCs w:val="22"/>
        </w:rPr>
      </w:pPr>
    </w:p>
    <w:p w14:paraId="387648E8" w14:textId="4A17A606" w:rsidR="0043186E" w:rsidRPr="0043186E" w:rsidRDefault="005C3264" w:rsidP="0043186E">
      <w:pPr>
        <w:pStyle w:val="NoSpacing"/>
        <w:rPr>
          <w:rFonts w:ascii="Calibri" w:hAnsi="Calibri"/>
          <w:b/>
          <w:sz w:val="22"/>
          <w:szCs w:val="22"/>
        </w:rPr>
      </w:pPr>
      <w:r>
        <w:rPr>
          <w:rFonts w:ascii="Calibri" w:hAnsi="Calibri"/>
          <w:b/>
          <w:sz w:val="22"/>
          <w:szCs w:val="22"/>
        </w:rPr>
        <w:t xml:space="preserve">Q. </w:t>
      </w:r>
      <w:r w:rsidR="00D416D7">
        <w:rPr>
          <w:rFonts w:ascii="Calibri" w:hAnsi="Calibri"/>
          <w:b/>
          <w:sz w:val="22"/>
          <w:szCs w:val="22"/>
        </w:rPr>
        <w:t>In the context of its investigations, w</w:t>
      </w:r>
      <w:r>
        <w:rPr>
          <w:rFonts w:ascii="Calibri" w:hAnsi="Calibri"/>
          <w:b/>
          <w:sz w:val="22"/>
          <w:szCs w:val="22"/>
        </w:rPr>
        <w:t>hat</w:t>
      </w:r>
      <w:r w:rsidR="00272238">
        <w:rPr>
          <w:rFonts w:ascii="Calibri" w:hAnsi="Calibri"/>
          <w:b/>
          <w:sz w:val="22"/>
          <w:szCs w:val="22"/>
        </w:rPr>
        <w:t xml:space="preserve"> </w:t>
      </w:r>
      <w:r w:rsidR="00D416D7">
        <w:rPr>
          <w:rFonts w:ascii="Calibri" w:hAnsi="Calibri"/>
          <w:b/>
          <w:sz w:val="22"/>
          <w:szCs w:val="22"/>
        </w:rPr>
        <w:t>opportunity does the university have to</w:t>
      </w:r>
      <w:r w:rsidR="00272238">
        <w:rPr>
          <w:rFonts w:ascii="Calibri" w:hAnsi="Calibri"/>
          <w:b/>
          <w:sz w:val="22"/>
          <w:szCs w:val="22"/>
        </w:rPr>
        <w:t xml:space="preserve"> </w:t>
      </w:r>
      <w:r w:rsidR="0043186E" w:rsidRPr="0043186E">
        <w:rPr>
          <w:rFonts w:ascii="Calibri" w:hAnsi="Calibri"/>
          <w:b/>
          <w:sz w:val="22"/>
          <w:szCs w:val="22"/>
        </w:rPr>
        <w:t>access mental health records</w:t>
      </w:r>
      <w:r w:rsidR="00D416D7">
        <w:rPr>
          <w:rFonts w:ascii="Calibri" w:hAnsi="Calibri"/>
          <w:b/>
          <w:sz w:val="22"/>
          <w:szCs w:val="22"/>
        </w:rPr>
        <w:t xml:space="preserve"> for those involved</w:t>
      </w:r>
      <w:r w:rsidR="00D848D4">
        <w:rPr>
          <w:rFonts w:ascii="Calibri" w:hAnsi="Calibri"/>
          <w:b/>
          <w:sz w:val="22"/>
          <w:szCs w:val="22"/>
        </w:rPr>
        <w:t xml:space="preserve"> or implicated</w:t>
      </w:r>
      <w:r w:rsidR="0043186E" w:rsidRPr="0043186E">
        <w:rPr>
          <w:rFonts w:ascii="Calibri" w:hAnsi="Calibri"/>
          <w:b/>
          <w:sz w:val="22"/>
          <w:szCs w:val="22"/>
        </w:rPr>
        <w:t>?</w:t>
      </w:r>
    </w:p>
    <w:p w14:paraId="2CD7C333" w14:textId="77777777" w:rsidR="0043186E" w:rsidRDefault="0043186E" w:rsidP="0043186E">
      <w:pPr>
        <w:pStyle w:val="NoSpacing"/>
        <w:rPr>
          <w:rFonts w:ascii="Calibri" w:hAnsi="Calibri"/>
          <w:b/>
          <w:sz w:val="22"/>
          <w:szCs w:val="22"/>
        </w:rPr>
      </w:pPr>
    </w:p>
    <w:p w14:paraId="6C6849FA" w14:textId="062B1B6C" w:rsidR="005C3264" w:rsidRDefault="007C5D9C" w:rsidP="0043186E">
      <w:pPr>
        <w:pStyle w:val="NoSpacing"/>
        <w:rPr>
          <w:rFonts w:ascii="Calibri" w:hAnsi="Calibri"/>
          <w:sz w:val="22"/>
          <w:szCs w:val="22"/>
        </w:rPr>
      </w:pPr>
      <w:r>
        <w:rPr>
          <w:rFonts w:ascii="Calibri" w:hAnsi="Calibri"/>
          <w:sz w:val="22"/>
          <w:szCs w:val="22"/>
        </w:rPr>
        <w:t xml:space="preserve">A. </w:t>
      </w:r>
      <w:r w:rsidR="005C3264" w:rsidRPr="005C3264">
        <w:rPr>
          <w:rFonts w:ascii="Calibri" w:hAnsi="Calibri"/>
          <w:sz w:val="22"/>
          <w:szCs w:val="22"/>
        </w:rPr>
        <w:t xml:space="preserve">Federal policy in this area is primarily focused on ensuring </w:t>
      </w:r>
      <w:r w:rsidR="005C3264">
        <w:rPr>
          <w:rFonts w:ascii="Calibri" w:hAnsi="Calibri"/>
          <w:sz w:val="22"/>
          <w:szCs w:val="22"/>
        </w:rPr>
        <w:t>that the victim receives timely access to the confidential medical and counseling services they need.</w:t>
      </w:r>
    </w:p>
    <w:p w14:paraId="77EADC7A" w14:textId="77777777" w:rsidR="00BD36FE" w:rsidRDefault="00BD36FE" w:rsidP="0043186E">
      <w:pPr>
        <w:pStyle w:val="NoSpacing"/>
        <w:rPr>
          <w:rFonts w:ascii="Calibri" w:hAnsi="Calibri"/>
          <w:sz w:val="22"/>
          <w:szCs w:val="22"/>
        </w:rPr>
      </w:pPr>
    </w:p>
    <w:p w14:paraId="34AF558C" w14:textId="55428D4D" w:rsidR="0043186E" w:rsidRDefault="00AB2907" w:rsidP="0043186E">
      <w:pPr>
        <w:pStyle w:val="NoSpacing"/>
        <w:rPr>
          <w:rFonts w:ascii="Calibri" w:hAnsi="Calibri"/>
          <w:b/>
          <w:sz w:val="22"/>
          <w:szCs w:val="22"/>
        </w:rPr>
      </w:pPr>
      <w:r>
        <w:rPr>
          <w:rFonts w:ascii="Calibri" w:hAnsi="Calibri"/>
          <w:sz w:val="22"/>
          <w:szCs w:val="22"/>
        </w:rPr>
        <w:t>To provide the highest level of care, i</w:t>
      </w:r>
      <w:r w:rsidR="00A93E08">
        <w:rPr>
          <w:rFonts w:ascii="Calibri" w:hAnsi="Calibri"/>
          <w:sz w:val="22"/>
          <w:szCs w:val="22"/>
        </w:rPr>
        <w:t xml:space="preserve">nstitutions of higher education </w:t>
      </w:r>
      <w:r>
        <w:rPr>
          <w:rFonts w:ascii="Calibri" w:hAnsi="Calibri"/>
          <w:sz w:val="22"/>
          <w:szCs w:val="22"/>
        </w:rPr>
        <w:t xml:space="preserve">need to </w:t>
      </w:r>
      <w:r w:rsidR="00A93E08">
        <w:rPr>
          <w:rFonts w:ascii="Calibri" w:hAnsi="Calibri"/>
          <w:sz w:val="22"/>
          <w:szCs w:val="22"/>
        </w:rPr>
        <w:t>ensur</w:t>
      </w:r>
      <w:r>
        <w:rPr>
          <w:rFonts w:ascii="Calibri" w:hAnsi="Calibri"/>
          <w:sz w:val="22"/>
          <w:szCs w:val="22"/>
        </w:rPr>
        <w:t>e</w:t>
      </w:r>
      <w:r w:rsidR="00A93E08">
        <w:rPr>
          <w:rFonts w:ascii="Calibri" w:hAnsi="Calibri"/>
          <w:sz w:val="22"/>
          <w:szCs w:val="22"/>
        </w:rPr>
        <w:t xml:space="preserve"> that students have uncompromised access to the support they need, without fear that the information they share </w:t>
      </w:r>
      <w:r w:rsidR="004A4FAF">
        <w:rPr>
          <w:rFonts w:ascii="Calibri" w:hAnsi="Calibri"/>
          <w:sz w:val="22"/>
          <w:szCs w:val="22"/>
        </w:rPr>
        <w:t>might be used to harm them further</w:t>
      </w:r>
      <w:r w:rsidR="00A93E08">
        <w:rPr>
          <w:rFonts w:ascii="Calibri" w:hAnsi="Calibri"/>
          <w:sz w:val="22"/>
          <w:szCs w:val="22"/>
        </w:rPr>
        <w:t xml:space="preserve">. </w:t>
      </w:r>
      <w:r>
        <w:rPr>
          <w:rFonts w:ascii="Calibri" w:hAnsi="Calibri"/>
          <w:sz w:val="22"/>
          <w:szCs w:val="22"/>
        </w:rPr>
        <w:t>We do not, therefore, share</w:t>
      </w:r>
      <w:r w:rsidR="00BD36FE">
        <w:rPr>
          <w:rFonts w:ascii="Calibri" w:hAnsi="Calibri"/>
          <w:sz w:val="22"/>
          <w:szCs w:val="22"/>
        </w:rPr>
        <w:t xml:space="preserve"> a student’s sensitive and confidential medical </w:t>
      </w:r>
      <w:r w:rsidR="00CD54AF">
        <w:rPr>
          <w:rFonts w:ascii="Calibri" w:hAnsi="Calibri"/>
          <w:sz w:val="22"/>
          <w:szCs w:val="22"/>
        </w:rPr>
        <w:t xml:space="preserve">or mental health </w:t>
      </w:r>
      <w:r w:rsidR="00BD36FE">
        <w:rPr>
          <w:rFonts w:ascii="Calibri" w:hAnsi="Calibri"/>
          <w:sz w:val="22"/>
          <w:szCs w:val="22"/>
        </w:rPr>
        <w:t>records with others not involved in their treatment</w:t>
      </w:r>
      <w:r w:rsidR="00806CCF">
        <w:rPr>
          <w:rFonts w:ascii="Calibri" w:hAnsi="Calibri"/>
          <w:sz w:val="22"/>
          <w:szCs w:val="22"/>
        </w:rPr>
        <w:t xml:space="preserve"> or request consent from a student though the student may do so voluntarily.</w:t>
      </w:r>
    </w:p>
    <w:p w14:paraId="12C1A288" w14:textId="77777777" w:rsidR="00470CEC" w:rsidRDefault="00470CEC" w:rsidP="0043186E">
      <w:pPr>
        <w:pStyle w:val="NoSpacing"/>
        <w:rPr>
          <w:rFonts w:ascii="Calibri" w:hAnsi="Calibri"/>
          <w:b/>
          <w:sz w:val="22"/>
          <w:szCs w:val="22"/>
        </w:rPr>
      </w:pPr>
    </w:p>
    <w:p w14:paraId="02083E82" w14:textId="77777777" w:rsidR="006700DD" w:rsidRPr="0043186E" w:rsidRDefault="006700DD" w:rsidP="0043186E">
      <w:pPr>
        <w:pStyle w:val="NoSpacing"/>
        <w:rPr>
          <w:rFonts w:ascii="Calibri" w:hAnsi="Calibri"/>
          <w:b/>
          <w:sz w:val="22"/>
          <w:szCs w:val="22"/>
        </w:rPr>
      </w:pPr>
    </w:p>
    <w:p w14:paraId="4571A5E3" w14:textId="23F0484C" w:rsidR="00A93E08" w:rsidRDefault="00A93E08" w:rsidP="00A93E08">
      <w:pPr>
        <w:pStyle w:val="NoSpacing"/>
        <w:rPr>
          <w:rFonts w:ascii="Calibri" w:hAnsi="Calibri"/>
          <w:b/>
          <w:sz w:val="22"/>
          <w:szCs w:val="22"/>
        </w:rPr>
      </w:pPr>
      <w:r>
        <w:rPr>
          <w:rFonts w:ascii="Calibri" w:hAnsi="Calibri"/>
          <w:b/>
          <w:sz w:val="22"/>
          <w:szCs w:val="22"/>
        </w:rPr>
        <w:t xml:space="preserve">Q. </w:t>
      </w:r>
      <w:r w:rsidR="00AB2907">
        <w:rPr>
          <w:rFonts w:ascii="Calibri" w:hAnsi="Calibri"/>
          <w:b/>
          <w:sz w:val="22"/>
          <w:szCs w:val="22"/>
        </w:rPr>
        <w:t xml:space="preserve">Does </w:t>
      </w:r>
      <w:r>
        <w:rPr>
          <w:rFonts w:ascii="Calibri" w:hAnsi="Calibri"/>
          <w:b/>
          <w:sz w:val="22"/>
          <w:szCs w:val="22"/>
        </w:rPr>
        <w:t>Baylor University request</w:t>
      </w:r>
      <w:r w:rsidRPr="00A93E08">
        <w:rPr>
          <w:rFonts w:ascii="Calibri" w:hAnsi="Calibri"/>
          <w:b/>
          <w:sz w:val="22"/>
          <w:szCs w:val="22"/>
        </w:rPr>
        <w:t xml:space="preserve"> </w:t>
      </w:r>
      <w:r w:rsidRPr="0043186E">
        <w:rPr>
          <w:rFonts w:ascii="Calibri" w:hAnsi="Calibri"/>
          <w:b/>
          <w:sz w:val="22"/>
          <w:szCs w:val="22"/>
        </w:rPr>
        <w:t>student disciplinary records from previous institutions?</w:t>
      </w:r>
    </w:p>
    <w:p w14:paraId="33F5E0FD" w14:textId="77777777" w:rsidR="00A93E08" w:rsidRDefault="00A93E08" w:rsidP="00A93E08">
      <w:pPr>
        <w:pStyle w:val="NoSpacing"/>
        <w:rPr>
          <w:rFonts w:ascii="Calibri" w:hAnsi="Calibri"/>
          <w:b/>
          <w:sz w:val="22"/>
          <w:szCs w:val="22"/>
        </w:rPr>
      </w:pPr>
    </w:p>
    <w:p w14:paraId="75FC854F" w14:textId="51F0AF50" w:rsidR="00A93E08" w:rsidRPr="00A93E08" w:rsidRDefault="007C5D9C" w:rsidP="00A93E08">
      <w:pPr>
        <w:pStyle w:val="NoSpacing"/>
        <w:rPr>
          <w:rFonts w:ascii="Calibri" w:hAnsi="Calibri"/>
          <w:sz w:val="22"/>
          <w:szCs w:val="22"/>
        </w:rPr>
      </w:pPr>
      <w:r>
        <w:rPr>
          <w:rFonts w:ascii="Calibri" w:hAnsi="Calibri"/>
          <w:sz w:val="22"/>
          <w:szCs w:val="22"/>
        </w:rPr>
        <w:t xml:space="preserve">A. </w:t>
      </w:r>
      <w:r w:rsidR="00A93E08" w:rsidRPr="00A93E08">
        <w:rPr>
          <w:rFonts w:ascii="Calibri" w:hAnsi="Calibri"/>
          <w:sz w:val="22"/>
          <w:szCs w:val="22"/>
        </w:rPr>
        <w:t>Yes</w:t>
      </w:r>
      <w:r w:rsidR="001E1589">
        <w:rPr>
          <w:rFonts w:ascii="Calibri" w:hAnsi="Calibri"/>
          <w:sz w:val="22"/>
          <w:szCs w:val="22"/>
        </w:rPr>
        <w:t>.</w:t>
      </w:r>
    </w:p>
    <w:p w14:paraId="771C8A64" w14:textId="77777777" w:rsidR="00102CED" w:rsidRDefault="00102CED" w:rsidP="00A93E08">
      <w:pPr>
        <w:pStyle w:val="NoSpacing"/>
        <w:rPr>
          <w:rFonts w:ascii="Calibri" w:hAnsi="Calibri"/>
          <w:sz w:val="22"/>
        </w:rPr>
      </w:pPr>
    </w:p>
    <w:p w14:paraId="7393280C" w14:textId="063DEDEA" w:rsidR="00A93E08" w:rsidRDefault="00BC42DB" w:rsidP="00A93E08">
      <w:pPr>
        <w:pStyle w:val="NoSpacing"/>
        <w:rPr>
          <w:rFonts w:ascii="Calibri" w:hAnsi="Calibri"/>
          <w:sz w:val="22"/>
          <w:szCs w:val="22"/>
        </w:rPr>
      </w:pPr>
      <w:r w:rsidRPr="00BC42DB">
        <w:rPr>
          <w:rFonts w:ascii="Calibri" w:hAnsi="Calibri"/>
          <w:sz w:val="22"/>
        </w:rPr>
        <w:t>Under the Family Educational Rights and Privacy Act (FERPA),</w:t>
      </w:r>
      <w:r w:rsidR="00A93E08" w:rsidRPr="00A93E08">
        <w:rPr>
          <w:rFonts w:ascii="Calibri" w:hAnsi="Calibri"/>
          <w:sz w:val="22"/>
          <w:szCs w:val="22"/>
        </w:rPr>
        <w:t xml:space="preserve"> a college or university may release educational records to officials of another school, school system or institution of postsecondary education where the student seeks or intends to enroll, or where the student is already enrolled</w:t>
      </w:r>
      <w:r w:rsidR="00BD36FE">
        <w:rPr>
          <w:rFonts w:ascii="Calibri" w:hAnsi="Calibri"/>
          <w:sz w:val="22"/>
          <w:szCs w:val="22"/>
        </w:rPr>
        <w:t xml:space="preserve">, as </w:t>
      </w:r>
      <w:r w:rsidR="00A93E08" w:rsidRPr="00A93E08">
        <w:rPr>
          <w:rFonts w:ascii="Calibri" w:hAnsi="Calibri"/>
          <w:sz w:val="22"/>
          <w:szCs w:val="22"/>
        </w:rPr>
        <w:t xml:space="preserve">long as the disclosure is for </w:t>
      </w:r>
      <w:r>
        <w:rPr>
          <w:rFonts w:ascii="Calibri" w:hAnsi="Calibri"/>
          <w:sz w:val="22"/>
          <w:szCs w:val="22"/>
        </w:rPr>
        <w:t>purposes related to the student’</w:t>
      </w:r>
      <w:r w:rsidR="00A93E08" w:rsidRPr="00A93E08">
        <w:rPr>
          <w:rFonts w:ascii="Calibri" w:hAnsi="Calibri"/>
          <w:sz w:val="22"/>
          <w:szCs w:val="22"/>
        </w:rPr>
        <w:t xml:space="preserve">s enrollment or transfer. </w:t>
      </w:r>
    </w:p>
    <w:p w14:paraId="6F745A67" w14:textId="77777777" w:rsidR="00BD36FE" w:rsidRDefault="00BD36FE" w:rsidP="00A93E08">
      <w:pPr>
        <w:pStyle w:val="NoSpacing"/>
        <w:rPr>
          <w:rFonts w:ascii="Calibri" w:hAnsi="Calibri"/>
          <w:sz w:val="22"/>
          <w:szCs w:val="22"/>
        </w:rPr>
      </w:pPr>
    </w:p>
    <w:p w14:paraId="298507FC" w14:textId="77777777" w:rsidR="00470CEC" w:rsidRDefault="00470CEC" w:rsidP="00A93E08">
      <w:pPr>
        <w:pStyle w:val="NoSpacing"/>
        <w:rPr>
          <w:rFonts w:ascii="Calibri" w:hAnsi="Calibri"/>
          <w:sz w:val="22"/>
          <w:szCs w:val="22"/>
        </w:rPr>
      </w:pPr>
    </w:p>
    <w:p w14:paraId="44F13BB8" w14:textId="3BE34C0E" w:rsidR="00A32302" w:rsidRPr="00254821" w:rsidRDefault="00A32302" w:rsidP="00132CAE">
      <w:pPr>
        <w:pStyle w:val="NoSpacing"/>
        <w:rPr>
          <w:rFonts w:ascii="Calibri" w:hAnsi="Calibri"/>
          <w:b/>
          <w:sz w:val="22"/>
          <w:szCs w:val="22"/>
        </w:rPr>
      </w:pPr>
      <w:r w:rsidRPr="00254821">
        <w:rPr>
          <w:rFonts w:ascii="Calibri" w:hAnsi="Calibri"/>
          <w:b/>
          <w:sz w:val="22"/>
          <w:szCs w:val="22"/>
        </w:rPr>
        <w:t xml:space="preserve">Q: </w:t>
      </w:r>
      <w:r w:rsidR="001E1589">
        <w:rPr>
          <w:rFonts w:ascii="Calibri" w:hAnsi="Calibri"/>
          <w:b/>
          <w:sz w:val="22"/>
          <w:szCs w:val="22"/>
        </w:rPr>
        <w:t>Can</w:t>
      </w:r>
      <w:r w:rsidRPr="00254821">
        <w:rPr>
          <w:rFonts w:ascii="Calibri" w:hAnsi="Calibri"/>
          <w:b/>
          <w:sz w:val="22"/>
          <w:szCs w:val="22"/>
        </w:rPr>
        <w:t xml:space="preserve"> the university refuse to admit someone based on the results of what’s learned from the student disciplinary records from previous institutions?</w:t>
      </w:r>
    </w:p>
    <w:p w14:paraId="371C4683" w14:textId="77777777" w:rsidR="00A32302" w:rsidRDefault="00A32302" w:rsidP="00132CAE">
      <w:pPr>
        <w:pStyle w:val="NoSpacing"/>
        <w:rPr>
          <w:rFonts w:ascii="Calibri" w:hAnsi="Calibri"/>
          <w:b/>
          <w:sz w:val="22"/>
          <w:szCs w:val="22"/>
        </w:rPr>
      </w:pPr>
    </w:p>
    <w:p w14:paraId="5B6AC157" w14:textId="3EEAE77A" w:rsidR="00A32302" w:rsidRPr="00132CAE" w:rsidRDefault="00A32302" w:rsidP="00132CAE">
      <w:pPr>
        <w:pStyle w:val="NoSpacing"/>
        <w:rPr>
          <w:rFonts w:ascii="Calibri" w:hAnsi="Calibri"/>
          <w:sz w:val="22"/>
        </w:rPr>
      </w:pPr>
      <w:r w:rsidRPr="00132CAE">
        <w:rPr>
          <w:rFonts w:ascii="Calibri" w:hAnsi="Calibri"/>
          <w:sz w:val="22"/>
        </w:rPr>
        <w:t xml:space="preserve">A: </w:t>
      </w:r>
      <w:r w:rsidR="00762412">
        <w:rPr>
          <w:rFonts w:ascii="Calibri" w:hAnsi="Calibri"/>
          <w:sz w:val="22"/>
        </w:rPr>
        <w:t>Yes</w:t>
      </w:r>
      <w:r w:rsidRPr="00132CAE">
        <w:rPr>
          <w:rFonts w:ascii="Calibri" w:hAnsi="Calibri"/>
          <w:sz w:val="22"/>
        </w:rPr>
        <w:t xml:space="preserve">. We have examples of </w:t>
      </w:r>
      <w:r w:rsidR="00FE78E0" w:rsidRPr="00132CAE">
        <w:rPr>
          <w:rFonts w:ascii="Calibri" w:hAnsi="Calibri"/>
          <w:sz w:val="22"/>
        </w:rPr>
        <w:t>prospective</w:t>
      </w:r>
      <w:r w:rsidRPr="00132CAE">
        <w:rPr>
          <w:rFonts w:ascii="Calibri" w:hAnsi="Calibri"/>
          <w:sz w:val="22"/>
        </w:rPr>
        <w:t xml:space="preserve"> students who have not </w:t>
      </w:r>
      <w:r w:rsidR="003F5E54">
        <w:rPr>
          <w:rFonts w:ascii="Calibri" w:hAnsi="Calibri"/>
          <w:sz w:val="22"/>
        </w:rPr>
        <w:t>been admitted based</w:t>
      </w:r>
      <w:r w:rsidRPr="00132CAE">
        <w:rPr>
          <w:rFonts w:ascii="Calibri" w:hAnsi="Calibri"/>
          <w:sz w:val="22"/>
        </w:rPr>
        <w:t xml:space="preserve"> upon review of disciplinary </w:t>
      </w:r>
      <w:r w:rsidR="00102CED">
        <w:rPr>
          <w:rFonts w:ascii="Calibri" w:hAnsi="Calibri"/>
          <w:sz w:val="22"/>
        </w:rPr>
        <w:t>action taken by</w:t>
      </w:r>
      <w:r w:rsidRPr="00132CAE">
        <w:rPr>
          <w:rFonts w:ascii="Calibri" w:hAnsi="Calibri"/>
          <w:sz w:val="22"/>
        </w:rPr>
        <w:t xml:space="preserve"> a previous institution.</w:t>
      </w:r>
    </w:p>
    <w:p w14:paraId="55EC82B8" w14:textId="6D5FB91D" w:rsidR="00A32302" w:rsidRDefault="00A32302" w:rsidP="00A32302">
      <w:pPr>
        <w:pStyle w:val="NoSpacing"/>
        <w:rPr>
          <w:rFonts w:ascii="Calibri" w:hAnsi="Calibri"/>
          <w:b/>
          <w:sz w:val="22"/>
          <w:szCs w:val="22"/>
        </w:rPr>
      </w:pPr>
    </w:p>
    <w:p w14:paraId="7E268B6D" w14:textId="77777777" w:rsidR="00762412" w:rsidRDefault="00762412" w:rsidP="00A32302">
      <w:pPr>
        <w:pStyle w:val="NoSpacing"/>
        <w:rPr>
          <w:rFonts w:ascii="Calibri" w:hAnsi="Calibri"/>
          <w:b/>
          <w:sz w:val="22"/>
          <w:szCs w:val="22"/>
        </w:rPr>
      </w:pPr>
    </w:p>
    <w:p w14:paraId="3AFA2864" w14:textId="0552C87B" w:rsidR="009E276B" w:rsidRPr="0043186E" w:rsidRDefault="009E276B" w:rsidP="0043186E">
      <w:pPr>
        <w:pStyle w:val="NoSpacing"/>
        <w:rPr>
          <w:rFonts w:ascii="Calibri" w:hAnsi="Calibri"/>
          <w:b/>
          <w:sz w:val="22"/>
          <w:szCs w:val="22"/>
        </w:rPr>
      </w:pPr>
      <w:r w:rsidRPr="0043186E">
        <w:rPr>
          <w:rFonts w:ascii="Calibri" w:hAnsi="Calibri"/>
          <w:b/>
          <w:sz w:val="22"/>
          <w:szCs w:val="22"/>
        </w:rPr>
        <w:t xml:space="preserve">Q. What </w:t>
      </w:r>
      <w:r w:rsidR="00773F1F">
        <w:rPr>
          <w:rFonts w:ascii="Calibri" w:hAnsi="Calibri"/>
          <w:b/>
          <w:sz w:val="22"/>
          <w:szCs w:val="22"/>
        </w:rPr>
        <w:t>does the university do while it is in the process of investigating an alleged sexual assault</w:t>
      </w:r>
      <w:r w:rsidRPr="0043186E">
        <w:rPr>
          <w:rFonts w:ascii="Calibri" w:hAnsi="Calibri"/>
          <w:b/>
          <w:sz w:val="22"/>
          <w:szCs w:val="22"/>
        </w:rPr>
        <w:t>?</w:t>
      </w:r>
    </w:p>
    <w:p w14:paraId="29EC685C" w14:textId="77777777" w:rsidR="0043186E" w:rsidRDefault="0043186E" w:rsidP="0043186E">
      <w:pPr>
        <w:pStyle w:val="NoSpacing"/>
        <w:rPr>
          <w:rFonts w:ascii="Calibri" w:hAnsi="Calibri"/>
          <w:sz w:val="22"/>
          <w:szCs w:val="22"/>
        </w:rPr>
      </w:pPr>
    </w:p>
    <w:p w14:paraId="6D6C57B4" w14:textId="5F4CDCBF" w:rsidR="00655EBF" w:rsidRPr="0043186E" w:rsidRDefault="007C5D9C" w:rsidP="0043186E">
      <w:pPr>
        <w:pStyle w:val="NoSpacing"/>
        <w:rPr>
          <w:rFonts w:ascii="Calibri" w:hAnsi="Calibri"/>
          <w:sz w:val="22"/>
          <w:szCs w:val="22"/>
        </w:rPr>
      </w:pPr>
      <w:r>
        <w:rPr>
          <w:rFonts w:ascii="Calibri" w:hAnsi="Calibri"/>
          <w:sz w:val="22"/>
          <w:szCs w:val="22"/>
        </w:rPr>
        <w:t xml:space="preserve">A. </w:t>
      </w:r>
      <w:r w:rsidR="00655EBF" w:rsidRPr="0043186E">
        <w:rPr>
          <w:rFonts w:ascii="Calibri" w:hAnsi="Calibri"/>
          <w:sz w:val="22"/>
          <w:szCs w:val="22"/>
        </w:rPr>
        <w:t xml:space="preserve">Baylor’s interim measures process is available publicly on the Title IX website: </w:t>
      </w:r>
      <w:hyperlink r:id="rId9" w:history="1">
        <w:r w:rsidR="00655EBF" w:rsidRPr="0043186E">
          <w:rPr>
            <w:rStyle w:val="Hyperlink"/>
            <w:rFonts w:ascii="Calibri" w:hAnsi="Calibri"/>
            <w:sz w:val="22"/>
            <w:szCs w:val="22"/>
          </w:rPr>
          <w:t>http://www.baylor.edu/titleIX/doc.php/243749.pdf</w:t>
        </w:r>
      </w:hyperlink>
      <w:r w:rsidR="00655EBF" w:rsidRPr="0043186E">
        <w:rPr>
          <w:rFonts w:ascii="Calibri" w:hAnsi="Calibri"/>
          <w:sz w:val="22"/>
          <w:szCs w:val="22"/>
        </w:rPr>
        <w:t xml:space="preserve">. These measures </w:t>
      </w:r>
      <w:r w:rsidR="003F5E54">
        <w:rPr>
          <w:rFonts w:ascii="Calibri" w:hAnsi="Calibri"/>
          <w:sz w:val="22"/>
          <w:szCs w:val="22"/>
        </w:rPr>
        <w:t xml:space="preserve">generally </w:t>
      </w:r>
      <w:r w:rsidR="00655EBF" w:rsidRPr="0043186E">
        <w:rPr>
          <w:rFonts w:ascii="Calibri" w:hAnsi="Calibri"/>
          <w:sz w:val="22"/>
          <w:szCs w:val="22"/>
        </w:rPr>
        <w:t>reflect the university’s approach in 2013-14.</w:t>
      </w:r>
    </w:p>
    <w:p w14:paraId="706D7CC3" w14:textId="77777777" w:rsidR="00655EBF" w:rsidRPr="0043186E" w:rsidRDefault="00655EBF" w:rsidP="0043186E">
      <w:pPr>
        <w:pStyle w:val="NoSpacing"/>
        <w:rPr>
          <w:rFonts w:ascii="Calibri" w:hAnsi="Calibri"/>
          <w:sz w:val="22"/>
          <w:szCs w:val="22"/>
        </w:rPr>
      </w:pPr>
    </w:p>
    <w:p w14:paraId="62B4B17C" w14:textId="7935A0A6" w:rsidR="00655EBF" w:rsidRPr="0043186E" w:rsidRDefault="00655EBF" w:rsidP="0043186E">
      <w:pPr>
        <w:pStyle w:val="NoSpacing"/>
        <w:rPr>
          <w:rFonts w:ascii="Calibri" w:hAnsi="Calibri"/>
          <w:sz w:val="22"/>
          <w:szCs w:val="22"/>
        </w:rPr>
      </w:pPr>
      <w:r w:rsidRPr="0043186E">
        <w:rPr>
          <w:rFonts w:ascii="Calibri" w:hAnsi="Calibri"/>
          <w:sz w:val="22"/>
          <w:szCs w:val="22"/>
        </w:rPr>
        <w:t xml:space="preserve">Baylor University may impose sanctions on the respondent and/or provide the complainant with protective measures following a final determination on university disciplinary procedures of sexual violence, sexual harassment, domestic violence, dating violence, sexual assault or stalking including: </w:t>
      </w:r>
    </w:p>
    <w:p w14:paraId="4909DFED" w14:textId="77777777" w:rsidR="00655EBF" w:rsidRPr="0043186E" w:rsidRDefault="00655EBF" w:rsidP="00272238">
      <w:pPr>
        <w:pStyle w:val="NoSpacing"/>
        <w:numPr>
          <w:ilvl w:val="0"/>
          <w:numId w:val="10"/>
        </w:numPr>
        <w:rPr>
          <w:rFonts w:ascii="Calibri" w:hAnsi="Calibri"/>
          <w:sz w:val="22"/>
          <w:szCs w:val="22"/>
        </w:rPr>
      </w:pPr>
      <w:r w:rsidRPr="0043186E">
        <w:rPr>
          <w:rFonts w:ascii="Calibri" w:hAnsi="Calibri"/>
          <w:sz w:val="22"/>
          <w:szCs w:val="22"/>
        </w:rPr>
        <w:t xml:space="preserve">Protective measures for a complainant include changes in academic or living situations, counseling and an order of no contact. </w:t>
      </w:r>
    </w:p>
    <w:p w14:paraId="1AE066EF" w14:textId="77777777" w:rsidR="00655EBF" w:rsidRPr="0043186E" w:rsidRDefault="00655EBF" w:rsidP="00272238">
      <w:pPr>
        <w:pStyle w:val="NoSpacing"/>
        <w:numPr>
          <w:ilvl w:val="0"/>
          <w:numId w:val="10"/>
        </w:numPr>
        <w:rPr>
          <w:rFonts w:ascii="Calibri" w:hAnsi="Calibri"/>
          <w:sz w:val="22"/>
          <w:szCs w:val="22"/>
        </w:rPr>
      </w:pPr>
      <w:r w:rsidRPr="0043186E">
        <w:rPr>
          <w:rFonts w:ascii="Calibri" w:hAnsi="Calibri"/>
          <w:sz w:val="22"/>
          <w:szCs w:val="22"/>
        </w:rPr>
        <w:lastRenderedPageBreak/>
        <w:t xml:space="preserve">Possible sanctions against the respondent include suspension or expulsion from the university along with educational outcomes. </w:t>
      </w:r>
    </w:p>
    <w:p w14:paraId="2DD99E84" w14:textId="77777777" w:rsidR="00655EBF" w:rsidRPr="0043186E" w:rsidRDefault="00655EBF" w:rsidP="00272238">
      <w:pPr>
        <w:pStyle w:val="NoSpacing"/>
        <w:numPr>
          <w:ilvl w:val="0"/>
          <w:numId w:val="10"/>
        </w:numPr>
        <w:rPr>
          <w:rFonts w:ascii="Calibri" w:hAnsi="Calibri"/>
          <w:sz w:val="22"/>
          <w:szCs w:val="22"/>
        </w:rPr>
      </w:pPr>
      <w:r w:rsidRPr="0043186E">
        <w:rPr>
          <w:rFonts w:ascii="Calibri" w:hAnsi="Calibri"/>
          <w:sz w:val="22"/>
          <w:szCs w:val="22"/>
        </w:rPr>
        <w:t xml:space="preserve">Employees may be subject to discipline, up to and including termination of employment. </w:t>
      </w:r>
    </w:p>
    <w:p w14:paraId="1E24310D" w14:textId="13CB4C2A" w:rsidR="00655EBF" w:rsidRPr="0043186E" w:rsidRDefault="00655EBF" w:rsidP="00272238">
      <w:pPr>
        <w:pStyle w:val="NoSpacing"/>
        <w:numPr>
          <w:ilvl w:val="0"/>
          <w:numId w:val="10"/>
        </w:numPr>
        <w:rPr>
          <w:rFonts w:ascii="Calibri" w:hAnsi="Calibri"/>
          <w:sz w:val="22"/>
          <w:szCs w:val="22"/>
        </w:rPr>
      </w:pPr>
      <w:r w:rsidRPr="0043186E">
        <w:rPr>
          <w:rFonts w:ascii="Calibri" w:hAnsi="Calibri"/>
          <w:sz w:val="22"/>
          <w:szCs w:val="22"/>
        </w:rPr>
        <w:t>Requests will be reviewed and may be granted if such a request is reasonable, regardless of whether the incident is reported to campus</w:t>
      </w:r>
      <w:r w:rsidR="0003690E">
        <w:rPr>
          <w:rFonts w:ascii="Calibri" w:hAnsi="Calibri"/>
          <w:sz w:val="22"/>
          <w:szCs w:val="22"/>
        </w:rPr>
        <w:t>.</w:t>
      </w:r>
    </w:p>
    <w:p w14:paraId="6D7A743F" w14:textId="77777777" w:rsidR="009E276B" w:rsidRDefault="009E276B" w:rsidP="0043186E">
      <w:pPr>
        <w:pStyle w:val="NoSpacing"/>
        <w:rPr>
          <w:rFonts w:ascii="Calibri" w:hAnsi="Calibri"/>
          <w:sz w:val="22"/>
          <w:szCs w:val="22"/>
        </w:rPr>
      </w:pPr>
    </w:p>
    <w:p w14:paraId="6F901A72" w14:textId="77777777" w:rsidR="00470CEC" w:rsidRPr="0043186E" w:rsidRDefault="00470CEC" w:rsidP="0043186E">
      <w:pPr>
        <w:pStyle w:val="NoSpacing"/>
        <w:rPr>
          <w:rFonts w:ascii="Calibri" w:hAnsi="Calibri"/>
          <w:sz w:val="22"/>
          <w:szCs w:val="22"/>
        </w:rPr>
      </w:pPr>
    </w:p>
    <w:p w14:paraId="7DE3D282" w14:textId="2633F46F" w:rsidR="009E276B" w:rsidRDefault="0003690E" w:rsidP="0043186E">
      <w:pPr>
        <w:pStyle w:val="NoSpacing"/>
        <w:rPr>
          <w:rFonts w:ascii="Calibri" w:hAnsi="Calibri"/>
          <w:b/>
          <w:sz w:val="22"/>
          <w:szCs w:val="22"/>
        </w:rPr>
      </w:pPr>
      <w:r>
        <w:rPr>
          <w:rFonts w:ascii="Calibri" w:hAnsi="Calibri"/>
          <w:b/>
          <w:sz w:val="22"/>
          <w:szCs w:val="22"/>
        </w:rPr>
        <w:t xml:space="preserve">Q. </w:t>
      </w:r>
      <w:r w:rsidR="00762412">
        <w:rPr>
          <w:rFonts w:ascii="Calibri" w:hAnsi="Calibri"/>
          <w:b/>
          <w:sz w:val="22"/>
          <w:szCs w:val="22"/>
        </w:rPr>
        <w:t>Can the university freely</w:t>
      </w:r>
      <w:r w:rsidR="003F5E54">
        <w:rPr>
          <w:rFonts w:ascii="Calibri" w:hAnsi="Calibri"/>
          <w:b/>
          <w:sz w:val="22"/>
          <w:szCs w:val="22"/>
        </w:rPr>
        <w:t xml:space="preserve"> </w:t>
      </w:r>
      <w:r w:rsidR="000745CE">
        <w:rPr>
          <w:rFonts w:ascii="Calibri" w:hAnsi="Calibri"/>
          <w:b/>
          <w:sz w:val="22"/>
          <w:szCs w:val="22"/>
        </w:rPr>
        <w:t xml:space="preserve">disclose the facts associated with </w:t>
      </w:r>
      <w:r w:rsidR="003F5E54">
        <w:rPr>
          <w:rFonts w:ascii="Calibri" w:hAnsi="Calibri"/>
          <w:b/>
          <w:sz w:val="22"/>
          <w:szCs w:val="22"/>
        </w:rPr>
        <w:t>discipline cases</w:t>
      </w:r>
      <w:r w:rsidR="000745CE">
        <w:rPr>
          <w:rFonts w:ascii="Calibri" w:hAnsi="Calibri"/>
          <w:b/>
          <w:sz w:val="22"/>
          <w:szCs w:val="22"/>
        </w:rPr>
        <w:t xml:space="preserve"> and </w:t>
      </w:r>
      <w:r w:rsidR="003F5E54">
        <w:rPr>
          <w:rFonts w:ascii="Calibri" w:hAnsi="Calibri"/>
          <w:b/>
          <w:sz w:val="22"/>
          <w:szCs w:val="22"/>
        </w:rPr>
        <w:t xml:space="preserve">their </w:t>
      </w:r>
      <w:r w:rsidR="000745CE">
        <w:rPr>
          <w:rFonts w:ascii="Calibri" w:hAnsi="Calibri"/>
          <w:b/>
          <w:sz w:val="22"/>
          <w:szCs w:val="22"/>
        </w:rPr>
        <w:t>investigation</w:t>
      </w:r>
      <w:r w:rsidR="00853CDC" w:rsidRPr="0043186E">
        <w:rPr>
          <w:rFonts w:ascii="Calibri" w:hAnsi="Calibri"/>
          <w:b/>
          <w:sz w:val="22"/>
          <w:szCs w:val="22"/>
        </w:rPr>
        <w:t>?</w:t>
      </w:r>
    </w:p>
    <w:p w14:paraId="280FD0AB" w14:textId="77777777" w:rsidR="0003690E" w:rsidRPr="0043186E" w:rsidRDefault="0003690E" w:rsidP="0043186E">
      <w:pPr>
        <w:pStyle w:val="NoSpacing"/>
        <w:rPr>
          <w:rFonts w:ascii="Calibri" w:hAnsi="Calibri"/>
          <w:b/>
          <w:sz w:val="22"/>
          <w:szCs w:val="22"/>
        </w:rPr>
      </w:pPr>
    </w:p>
    <w:p w14:paraId="01C50B50" w14:textId="405A50FE" w:rsidR="00853CDC" w:rsidRDefault="00DB5BEC" w:rsidP="0043186E">
      <w:pPr>
        <w:pStyle w:val="NoSpacing"/>
        <w:rPr>
          <w:rFonts w:ascii="Calibri" w:hAnsi="Calibri"/>
          <w:sz w:val="22"/>
          <w:szCs w:val="22"/>
        </w:rPr>
      </w:pPr>
      <w:r>
        <w:rPr>
          <w:rFonts w:ascii="Calibri" w:hAnsi="Calibri"/>
          <w:sz w:val="22"/>
          <w:szCs w:val="22"/>
        </w:rPr>
        <w:t>A</w:t>
      </w:r>
      <w:r w:rsidR="00881C51">
        <w:rPr>
          <w:rFonts w:ascii="Calibri" w:hAnsi="Calibri"/>
          <w:sz w:val="22"/>
          <w:szCs w:val="22"/>
        </w:rPr>
        <w:t>. D</w:t>
      </w:r>
      <w:r>
        <w:rPr>
          <w:rFonts w:ascii="Calibri" w:hAnsi="Calibri"/>
          <w:sz w:val="22"/>
          <w:szCs w:val="22"/>
        </w:rPr>
        <w:t xml:space="preserve">isciplinary cases </w:t>
      </w:r>
      <w:r w:rsidR="00881C51">
        <w:rPr>
          <w:rFonts w:ascii="Calibri" w:hAnsi="Calibri"/>
          <w:sz w:val="22"/>
          <w:szCs w:val="22"/>
        </w:rPr>
        <w:t xml:space="preserve">at all universities </w:t>
      </w:r>
      <w:r>
        <w:rPr>
          <w:rFonts w:ascii="Calibri" w:hAnsi="Calibri"/>
          <w:sz w:val="22"/>
          <w:szCs w:val="22"/>
        </w:rPr>
        <w:t xml:space="preserve">are confidential </w:t>
      </w:r>
      <w:r w:rsidR="0003690E">
        <w:rPr>
          <w:rFonts w:ascii="Calibri" w:hAnsi="Calibri"/>
          <w:sz w:val="22"/>
          <w:szCs w:val="22"/>
        </w:rPr>
        <w:t>under federal privacy law (</w:t>
      </w:r>
      <w:r w:rsidR="00881C51">
        <w:rPr>
          <w:rFonts w:ascii="Calibri" w:hAnsi="Calibri"/>
          <w:sz w:val="22"/>
          <w:szCs w:val="22"/>
        </w:rPr>
        <w:t>Family Educational Rights and Privacy Act</w:t>
      </w:r>
      <w:r w:rsidR="0003690E">
        <w:rPr>
          <w:rFonts w:ascii="Calibri" w:hAnsi="Calibri"/>
          <w:sz w:val="22"/>
          <w:szCs w:val="22"/>
        </w:rPr>
        <w:t>, FERPA</w:t>
      </w:r>
      <w:r>
        <w:rPr>
          <w:rFonts w:ascii="Calibri" w:hAnsi="Calibri"/>
          <w:sz w:val="22"/>
          <w:szCs w:val="22"/>
        </w:rPr>
        <w:t>).</w:t>
      </w:r>
      <w:r w:rsidR="00881C51">
        <w:rPr>
          <w:rFonts w:ascii="Calibri" w:hAnsi="Calibri"/>
          <w:sz w:val="22"/>
          <w:szCs w:val="22"/>
        </w:rPr>
        <w:t xml:space="preserve"> A student’s enrollment status and status on a team may be disclosed. </w:t>
      </w:r>
    </w:p>
    <w:p w14:paraId="7F4FB1B5" w14:textId="77777777" w:rsidR="003E78BF" w:rsidRDefault="003E78BF" w:rsidP="0043186E">
      <w:pPr>
        <w:pStyle w:val="NoSpacing"/>
        <w:rPr>
          <w:rFonts w:ascii="Calibri" w:hAnsi="Calibri"/>
          <w:sz w:val="22"/>
          <w:szCs w:val="22"/>
        </w:rPr>
      </w:pPr>
    </w:p>
    <w:p w14:paraId="4D8969F1" w14:textId="77777777" w:rsidR="00470CEC" w:rsidRDefault="00470CEC" w:rsidP="0043186E">
      <w:pPr>
        <w:pStyle w:val="NoSpacing"/>
        <w:rPr>
          <w:rFonts w:ascii="Calibri" w:hAnsi="Calibri"/>
          <w:sz w:val="22"/>
          <w:szCs w:val="22"/>
        </w:rPr>
      </w:pPr>
    </w:p>
    <w:p w14:paraId="2F616F0F" w14:textId="77777777" w:rsidR="000C16DF" w:rsidRDefault="00291865" w:rsidP="0043186E">
      <w:pPr>
        <w:pStyle w:val="NoSpacing"/>
        <w:rPr>
          <w:rFonts w:ascii="Calibri" w:hAnsi="Calibri"/>
          <w:b/>
          <w:sz w:val="22"/>
          <w:szCs w:val="22"/>
        </w:rPr>
      </w:pPr>
      <w:r w:rsidRPr="00291865">
        <w:rPr>
          <w:rFonts w:ascii="Calibri" w:hAnsi="Calibri"/>
          <w:b/>
          <w:sz w:val="22"/>
          <w:szCs w:val="22"/>
        </w:rPr>
        <w:t>Q. What kind of sexual assault or Title IX training does Baylor provide</w:t>
      </w:r>
      <w:r w:rsidR="000C16DF">
        <w:rPr>
          <w:rFonts w:ascii="Calibri" w:hAnsi="Calibri"/>
          <w:b/>
          <w:sz w:val="22"/>
          <w:szCs w:val="22"/>
        </w:rPr>
        <w:t>?</w:t>
      </w:r>
    </w:p>
    <w:p w14:paraId="47EE580F" w14:textId="77777777" w:rsidR="00291865" w:rsidRDefault="00291865" w:rsidP="0043186E">
      <w:pPr>
        <w:pStyle w:val="NoSpacing"/>
        <w:rPr>
          <w:rFonts w:ascii="Calibri" w:hAnsi="Calibri"/>
          <w:sz w:val="22"/>
          <w:szCs w:val="22"/>
        </w:rPr>
      </w:pPr>
    </w:p>
    <w:p w14:paraId="1DB5077A" w14:textId="7BE25878" w:rsidR="000C16DF" w:rsidRDefault="007C5D9C" w:rsidP="0043186E">
      <w:pPr>
        <w:pStyle w:val="NoSpacing"/>
        <w:rPr>
          <w:rFonts w:ascii="Calibri" w:hAnsi="Calibri"/>
          <w:sz w:val="22"/>
          <w:szCs w:val="22"/>
        </w:rPr>
      </w:pPr>
      <w:r>
        <w:rPr>
          <w:rFonts w:ascii="Calibri" w:hAnsi="Calibri"/>
          <w:sz w:val="22"/>
          <w:szCs w:val="22"/>
        </w:rPr>
        <w:t xml:space="preserve">A. </w:t>
      </w:r>
      <w:r w:rsidR="000C16DF" w:rsidRPr="000C16DF">
        <w:rPr>
          <w:rFonts w:ascii="Calibri" w:hAnsi="Calibri"/>
          <w:sz w:val="22"/>
          <w:szCs w:val="22"/>
        </w:rPr>
        <w:t>Baylor University</w:t>
      </w:r>
      <w:r w:rsidR="0003690E">
        <w:rPr>
          <w:rFonts w:ascii="Calibri" w:hAnsi="Calibri"/>
          <w:sz w:val="22"/>
          <w:szCs w:val="22"/>
        </w:rPr>
        <w:t xml:space="preserve"> provides extensive </w:t>
      </w:r>
      <w:r w:rsidR="000C16DF">
        <w:rPr>
          <w:rFonts w:ascii="Calibri" w:hAnsi="Calibri"/>
          <w:sz w:val="22"/>
          <w:szCs w:val="22"/>
        </w:rPr>
        <w:t xml:space="preserve">Title IX training for </w:t>
      </w:r>
      <w:r w:rsidR="000C16DF" w:rsidRPr="000C16DF">
        <w:rPr>
          <w:rFonts w:ascii="Calibri" w:hAnsi="Calibri"/>
          <w:sz w:val="22"/>
          <w:szCs w:val="22"/>
        </w:rPr>
        <w:t>its campus communit</w:t>
      </w:r>
      <w:r w:rsidR="009D0272">
        <w:rPr>
          <w:rFonts w:ascii="Calibri" w:hAnsi="Calibri"/>
          <w:sz w:val="22"/>
          <w:szCs w:val="22"/>
        </w:rPr>
        <w:t>y, including required training on sexual assault awareness and prevention for all freshmen and transfer students.</w:t>
      </w:r>
    </w:p>
    <w:p w14:paraId="44EC867F" w14:textId="77777777" w:rsidR="0003690E" w:rsidRDefault="0003690E" w:rsidP="0043186E">
      <w:pPr>
        <w:pStyle w:val="NoSpacing"/>
        <w:rPr>
          <w:rFonts w:ascii="Calibri" w:hAnsi="Calibri"/>
          <w:sz w:val="22"/>
          <w:szCs w:val="22"/>
        </w:rPr>
      </w:pPr>
    </w:p>
    <w:p w14:paraId="40F0924C" w14:textId="2F87727F" w:rsidR="00291865" w:rsidRPr="00291865" w:rsidRDefault="000C16DF" w:rsidP="000C16DF">
      <w:pPr>
        <w:pStyle w:val="NoSpacing"/>
        <w:rPr>
          <w:rFonts w:ascii="Calibri" w:hAnsi="Calibri"/>
          <w:sz w:val="22"/>
        </w:rPr>
      </w:pPr>
      <w:r>
        <w:rPr>
          <w:rFonts w:ascii="Calibri" w:hAnsi="Calibri"/>
          <w:sz w:val="22"/>
          <w:szCs w:val="22"/>
        </w:rPr>
        <w:t xml:space="preserve">Students are provided with </w:t>
      </w:r>
      <w:r w:rsidR="00291865" w:rsidRPr="00291865">
        <w:rPr>
          <w:rFonts w:ascii="Calibri" w:hAnsi="Calibri"/>
          <w:sz w:val="22"/>
        </w:rPr>
        <w:t xml:space="preserve">“It’s on Us BU” </w:t>
      </w:r>
      <w:r w:rsidR="001E1589">
        <w:rPr>
          <w:rFonts w:ascii="Calibri" w:hAnsi="Calibri"/>
          <w:sz w:val="22"/>
        </w:rPr>
        <w:t>c</w:t>
      </w:r>
      <w:r w:rsidR="00291865" w:rsidRPr="00291865">
        <w:rPr>
          <w:rFonts w:ascii="Calibri" w:hAnsi="Calibri"/>
          <w:sz w:val="22"/>
        </w:rPr>
        <w:t>ampaign training</w:t>
      </w:r>
      <w:r w:rsidR="009D0272">
        <w:rPr>
          <w:rFonts w:ascii="Calibri" w:hAnsi="Calibri"/>
          <w:sz w:val="22"/>
        </w:rPr>
        <w:t>,</w:t>
      </w:r>
      <w:r>
        <w:rPr>
          <w:rFonts w:ascii="Calibri" w:hAnsi="Calibri"/>
          <w:sz w:val="22"/>
        </w:rPr>
        <w:t xml:space="preserve"> which includes</w:t>
      </w:r>
      <w:r w:rsidR="00291865" w:rsidRPr="00291865">
        <w:rPr>
          <w:rFonts w:ascii="Calibri" w:hAnsi="Calibri"/>
          <w:sz w:val="22"/>
        </w:rPr>
        <w:t xml:space="preserve">:  </w:t>
      </w:r>
    </w:p>
    <w:p w14:paraId="6829577B" w14:textId="77777777" w:rsidR="00291865" w:rsidRPr="000C16DF" w:rsidRDefault="00291865" w:rsidP="000C16DF">
      <w:pPr>
        <w:pStyle w:val="NoSpacing"/>
        <w:numPr>
          <w:ilvl w:val="0"/>
          <w:numId w:val="15"/>
        </w:numPr>
        <w:rPr>
          <w:rFonts w:ascii="Calibri" w:hAnsi="Calibri"/>
          <w:sz w:val="22"/>
        </w:rPr>
      </w:pPr>
      <w:r w:rsidRPr="000C16DF">
        <w:rPr>
          <w:rFonts w:ascii="Calibri" w:hAnsi="Calibri"/>
          <w:sz w:val="22"/>
        </w:rPr>
        <w:t>Awareness of Interpersonal violence (sexual assault, sexual harassment, stalking, dating/domestic violence, sexual exploitation)</w:t>
      </w:r>
    </w:p>
    <w:p w14:paraId="150DFCC7" w14:textId="0D3CE3B0" w:rsidR="00291865" w:rsidRPr="000C16DF" w:rsidRDefault="00291865" w:rsidP="000C16DF">
      <w:pPr>
        <w:pStyle w:val="NoSpacing"/>
        <w:numPr>
          <w:ilvl w:val="0"/>
          <w:numId w:val="15"/>
        </w:numPr>
        <w:rPr>
          <w:rFonts w:ascii="Calibri" w:hAnsi="Calibri"/>
          <w:sz w:val="22"/>
        </w:rPr>
      </w:pPr>
      <w:r w:rsidRPr="000C16DF">
        <w:rPr>
          <w:rFonts w:ascii="Calibri" w:hAnsi="Calibri"/>
          <w:sz w:val="22"/>
        </w:rPr>
        <w:t xml:space="preserve">University </w:t>
      </w:r>
      <w:r w:rsidR="001E1589">
        <w:rPr>
          <w:rFonts w:ascii="Calibri" w:hAnsi="Calibri"/>
          <w:sz w:val="22"/>
        </w:rPr>
        <w:t>p</w:t>
      </w:r>
      <w:r w:rsidRPr="000C16DF">
        <w:rPr>
          <w:rFonts w:ascii="Calibri" w:hAnsi="Calibri"/>
          <w:sz w:val="22"/>
        </w:rPr>
        <w:t>olicy and how to report</w:t>
      </w:r>
    </w:p>
    <w:p w14:paraId="54A711C5" w14:textId="14AC8583" w:rsidR="00291865" w:rsidRPr="000C16DF" w:rsidRDefault="001E1589" w:rsidP="000C16DF">
      <w:pPr>
        <w:pStyle w:val="NoSpacing"/>
        <w:numPr>
          <w:ilvl w:val="0"/>
          <w:numId w:val="15"/>
        </w:numPr>
        <w:rPr>
          <w:rFonts w:ascii="Calibri" w:hAnsi="Calibri"/>
          <w:sz w:val="22"/>
        </w:rPr>
      </w:pPr>
      <w:r>
        <w:rPr>
          <w:rFonts w:ascii="Calibri" w:hAnsi="Calibri"/>
          <w:sz w:val="22"/>
        </w:rPr>
        <w:t xml:space="preserve">Information about the </w:t>
      </w:r>
      <w:bookmarkStart w:id="0" w:name="_GoBack"/>
      <w:bookmarkEnd w:id="0"/>
      <w:r w:rsidR="000C16DF">
        <w:rPr>
          <w:rFonts w:ascii="Calibri" w:hAnsi="Calibri"/>
          <w:sz w:val="22"/>
        </w:rPr>
        <w:t>Title IX Office</w:t>
      </w:r>
    </w:p>
    <w:p w14:paraId="2861843D" w14:textId="77777777" w:rsidR="00291865" w:rsidRPr="000C16DF" w:rsidRDefault="00291865" w:rsidP="000C16DF">
      <w:pPr>
        <w:pStyle w:val="NoSpacing"/>
        <w:numPr>
          <w:ilvl w:val="0"/>
          <w:numId w:val="15"/>
        </w:numPr>
        <w:rPr>
          <w:rFonts w:ascii="Calibri" w:hAnsi="Calibri"/>
          <w:sz w:val="22"/>
        </w:rPr>
      </w:pPr>
      <w:r w:rsidRPr="000C16DF">
        <w:rPr>
          <w:rFonts w:ascii="Calibri" w:hAnsi="Calibri"/>
          <w:sz w:val="22"/>
        </w:rPr>
        <w:t>How to get help (confidential resources, University disciplinary process</w:t>
      </w:r>
      <w:r w:rsidR="000C16DF">
        <w:rPr>
          <w:rFonts w:ascii="Calibri" w:hAnsi="Calibri"/>
          <w:sz w:val="22"/>
        </w:rPr>
        <w:t>, criminal options, etc.)</w:t>
      </w:r>
    </w:p>
    <w:p w14:paraId="401AF18D" w14:textId="77777777" w:rsidR="00291865" w:rsidRPr="000C16DF" w:rsidRDefault="00291865" w:rsidP="000C16DF">
      <w:pPr>
        <w:pStyle w:val="NoSpacing"/>
        <w:numPr>
          <w:ilvl w:val="0"/>
          <w:numId w:val="15"/>
        </w:numPr>
        <w:rPr>
          <w:rFonts w:ascii="Calibri" w:hAnsi="Calibri"/>
          <w:sz w:val="22"/>
        </w:rPr>
      </w:pPr>
      <w:r w:rsidRPr="000C16DF">
        <w:rPr>
          <w:rFonts w:ascii="Calibri" w:hAnsi="Calibri"/>
          <w:sz w:val="22"/>
        </w:rPr>
        <w:t>Prevention (combination of risk reduct</w:t>
      </w:r>
      <w:r w:rsidR="000C16DF">
        <w:rPr>
          <w:rFonts w:ascii="Calibri" w:hAnsi="Calibri"/>
          <w:sz w:val="22"/>
        </w:rPr>
        <w:t>ion and bystander intervention)</w:t>
      </w:r>
    </w:p>
    <w:p w14:paraId="64B17C72" w14:textId="77777777" w:rsidR="00291865" w:rsidRDefault="000C16DF" w:rsidP="000C16DF">
      <w:pPr>
        <w:pStyle w:val="NoSpacing"/>
        <w:numPr>
          <w:ilvl w:val="0"/>
          <w:numId w:val="15"/>
        </w:numPr>
        <w:rPr>
          <w:rFonts w:ascii="Calibri" w:hAnsi="Calibri"/>
          <w:sz w:val="22"/>
        </w:rPr>
      </w:pPr>
      <w:r>
        <w:rPr>
          <w:rFonts w:ascii="Calibri" w:hAnsi="Calibri"/>
          <w:sz w:val="22"/>
        </w:rPr>
        <w:t xml:space="preserve">Getting proactively involved in the </w:t>
      </w:r>
      <w:r w:rsidR="00291865" w:rsidRPr="000C16DF">
        <w:rPr>
          <w:rFonts w:ascii="Calibri" w:hAnsi="Calibri"/>
          <w:sz w:val="22"/>
        </w:rPr>
        <w:t>It’s</w:t>
      </w:r>
      <w:r>
        <w:rPr>
          <w:rFonts w:ascii="Calibri" w:hAnsi="Calibri"/>
          <w:sz w:val="22"/>
        </w:rPr>
        <w:t xml:space="preserve"> on Us BU campaign involvement</w:t>
      </w:r>
    </w:p>
    <w:p w14:paraId="08001389" w14:textId="77777777" w:rsidR="000C16DF" w:rsidRDefault="000C16DF" w:rsidP="000C16DF">
      <w:pPr>
        <w:pStyle w:val="NoSpacing"/>
        <w:rPr>
          <w:rFonts w:ascii="Calibri" w:hAnsi="Calibri"/>
          <w:sz w:val="22"/>
        </w:rPr>
      </w:pPr>
    </w:p>
    <w:p w14:paraId="05FA1463" w14:textId="77777777" w:rsidR="00291865" w:rsidRPr="0003690E" w:rsidRDefault="0003690E" w:rsidP="0003690E">
      <w:pPr>
        <w:pStyle w:val="NoSpacing"/>
        <w:rPr>
          <w:rFonts w:ascii="Calibri" w:hAnsi="Calibri"/>
          <w:sz w:val="22"/>
        </w:rPr>
      </w:pPr>
      <w:r w:rsidRPr="0003690E">
        <w:rPr>
          <w:rFonts w:ascii="Calibri" w:hAnsi="Calibri"/>
          <w:sz w:val="22"/>
        </w:rPr>
        <w:t xml:space="preserve">Employees, including faculty, staff and student workers </w:t>
      </w:r>
      <w:r w:rsidR="009D0272">
        <w:rPr>
          <w:rFonts w:ascii="Calibri" w:hAnsi="Calibri"/>
          <w:sz w:val="22"/>
        </w:rPr>
        <w:t xml:space="preserve">and others, </w:t>
      </w:r>
      <w:r w:rsidRPr="0003690E">
        <w:rPr>
          <w:rFonts w:ascii="Calibri" w:hAnsi="Calibri"/>
          <w:sz w:val="22"/>
        </w:rPr>
        <w:t xml:space="preserve">are provided with </w:t>
      </w:r>
      <w:r w:rsidR="00291865" w:rsidRPr="0003690E">
        <w:rPr>
          <w:rFonts w:ascii="Calibri" w:hAnsi="Calibri"/>
          <w:sz w:val="22"/>
        </w:rPr>
        <w:t>Responsible Employee Training</w:t>
      </w:r>
      <w:r w:rsidRPr="0003690E">
        <w:rPr>
          <w:rFonts w:ascii="Calibri" w:hAnsi="Calibri"/>
          <w:sz w:val="22"/>
        </w:rPr>
        <w:t xml:space="preserve"> on</w:t>
      </w:r>
      <w:r w:rsidR="00291865" w:rsidRPr="0003690E">
        <w:rPr>
          <w:rFonts w:ascii="Calibri" w:hAnsi="Calibri"/>
          <w:sz w:val="22"/>
        </w:rPr>
        <w:t>:</w:t>
      </w:r>
    </w:p>
    <w:p w14:paraId="65ECD47B" w14:textId="77777777" w:rsidR="00291865" w:rsidRPr="0003690E" w:rsidRDefault="009D0272" w:rsidP="009D0272">
      <w:pPr>
        <w:pStyle w:val="NoSpacing"/>
        <w:numPr>
          <w:ilvl w:val="0"/>
          <w:numId w:val="18"/>
        </w:numPr>
        <w:rPr>
          <w:rFonts w:ascii="Calibri" w:hAnsi="Calibri"/>
          <w:sz w:val="22"/>
        </w:rPr>
      </w:pPr>
      <w:r>
        <w:rPr>
          <w:rFonts w:ascii="Calibri" w:hAnsi="Calibri"/>
          <w:sz w:val="22"/>
        </w:rPr>
        <w:t>University Policy</w:t>
      </w:r>
    </w:p>
    <w:p w14:paraId="49A06D91" w14:textId="77777777" w:rsidR="00291865" w:rsidRPr="0003690E" w:rsidRDefault="009D0272" w:rsidP="009D0272">
      <w:pPr>
        <w:pStyle w:val="NoSpacing"/>
        <w:numPr>
          <w:ilvl w:val="0"/>
          <w:numId w:val="18"/>
        </w:numPr>
        <w:rPr>
          <w:rFonts w:ascii="Calibri" w:hAnsi="Calibri"/>
          <w:sz w:val="22"/>
        </w:rPr>
      </w:pPr>
      <w:r>
        <w:rPr>
          <w:rFonts w:ascii="Calibri" w:hAnsi="Calibri"/>
          <w:sz w:val="22"/>
        </w:rPr>
        <w:t>Title IX law and scope</w:t>
      </w:r>
    </w:p>
    <w:p w14:paraId="2A982952" w14:textId="77777777" w:rsidR="00291865" w:rsidRPr="0003690E" w:rsidRDefault="00291865" w:rsidP="009D0272">
      <w:pPr>
        <w:pStyle w:val="NoSpacing"/>
        <w:numPr>
          <w:ilvl w:val="0"/>
          <w:numId w:val="18"/>
        </w:numPr>
        <w:rPr>
          <w:rFonts w:ascii="Calibri" w:hAnsi="Calibri"/>
          <w:sz w:val="22"/>
        </w:rPr>
      </w:pPr>
      <w:r w:rsidRPr="0003690E">
        <w:rPr>
          <w:rFonts w:ascii="Calibri" w:hAnsi="Calibri"/>
          <w:sz w:val="22"/>
        </w:rPr>
        <w:t>Violence Against Women</w:t>
      </w:r>
      <w:r w:rsidR="009D0272">
        <w:rPr>
          <w:rFonts w:ascii="Calibri" w:hAnsi="Calibri"/>
          <w:sz w:val="22"/>
        </w:rPr>
        <w:t xml:space="preserve"> Act, Campus </w:t>
      </w:r>
      <w:proofErr w:type="spellStart"/>
      <w:r w:rsidR="009D0272">
        <w:rPr>
          <w:rFonts w:ascii="Calibri" w:hAnsi="Calibri"/>
          <w:sz w:val="22"/>
        </w:rPr>
        <w:t>SaVE</w:t>
      </w:r>
      <w:proofErr w:type="spellEnd"/>
      <w:r w:rsidR="009D0272">
        <w:rPr>
          <w:rFonts w:ascii="Calibri" w:hAnsi="Calibri"/>
          <w:sz w:val="22"/>
        </w:rPr>
        <w:t xml:space="preserve"> law and scope</w:t>
      </w:r>
    </w:p>
    <w:p w14:paraId="2A75F9DE" w14:textId="77777777" w:rsidR="00291865" w:rsidRPr="0003690E" w:rsidRDefault="009D0272" w:rsidP="009D0272">
      <w:pPr>
        <w:pStyle w:val="NoSpacing"/>
        <w:numPr>
          <w:ilvl w:val="0"/>
          <w:numId w:val="18"/>
        </w:numPr>
        <w:rPr>
          <w:rFonts w:ascii="Calibri" w:hAnsi="Calibri"/>
          <w:sz w:val="22"/>
        </w:rPr>
      </w:pPr>
      <w:r>
        <w:rPr>
          <w:rFonts w:ascii="Calibri" w:hAnsi="Calibri"/>
          <w:sz w:val="22"/>
        </w:rPr>
        <w:t>Reporting to Title IX Office</w:t>
      </w:r>
    </w:p>
    <w:p w14:paraId="0AFF93A4" w14:textId="77777777" w:rsidR="00291865" w:rsidRPr="0003690E" w:rsidRDefault="009D0272" w:rsidP="009D0272">
      <w:pPr>
        <w:pStyle w:val="NoSpacing"/>
        <w:numPr>
          <w:ilvl w:val="0"/>
          <w:numId w:val="18"/>
        </w:numPr>
        <w:rPr>
          <w:rFonts w:ascii="Calibri" w:hAnsi="Calibri"/>
          <w:sz w:val="22"/>
        </w:rPr>
      </w:pPr>
      <w:r>
        <w:rPr>
          <w:rFonts w:ascii="Calibri" w:hAnsi="Calibri"/>
          <w:sz w:val="22"/>
        </w:rPr>
        <w:t>Rights and resources</w:t>
      </w:r>
    </w:p>
    <w:p w14:paraId="09CFB3D4" w14:textId="77777777" w:rsidR="00291865" w:rsidRPr="0003690E" w:rsidRDefault="00291865" w:rsidP="009D0272">
      <w:pPr>
        <w:pStyle w:val="NoSpacing"/>
        <w:numPr>
          <w:ilvl w:val="0"/>
          <w:numId w:val="18"/>
        </w:numPr>
        <w:rPr>
          <w:rFonts w:ascii="Calibri" w:hAnsi="Calibri"/>
          <w:sz w:val="22"/>
        </w:rPr>
      </w:pPr>
      <w:r w:rsidRPr="0003690E">
        <w:rPr>
          <w:rFonts w:ascii="Calibri" w:hAnsi="Calibri"/>
          <w:sz w:val="22"/>
        </w:rPr>
        <w:t>Con</w:t>
      </w:r>
      <w:r w:rsidR="009D0272">
        <w:rPr>
          <w:rFonts w:ascii="Calibri" w:hAnsi="Calibri"/>
          <w:sz w:val="22"/>
        </w:rPr>
        <w:t>fidential employees and resources</w:t>
      </w:r>
    </w:p>
    <w:p w14:paraId="003276CE" w14:textId="77777777" w:rsidR="00291865" w:rsidRPr="0003690E" w:rsidRDefault="009D0272" w:rsidP="009D0272">
      <w:pPr>
        <w:pStyle w:val="NoSpacing"/>
        <w:numPr>
          <w:ilvl w:val="0"/>
          <w:numId w:val="18"/>
        </w:numPr>
        <w:rPr>
          <w:rFonts w:ascii="Calibri" w:hAnsi="Calibri"/>
          <w:sz w:val="22"/>
        </w:rPr>
      </w:pPr>
      <w:r>
        <w:rPr>
          <w:rFonts w:ascii="Calibri" w:hAnsi="Calibri"/>
          <w:sz w:val="22"/>
        </w:rPr>
        <w:t>Interim measures and remedies</w:t>
      </w:r>
    </w:p>
    <w:p w14:paraId="2B046573" w14:textId="77777777" w:rsidR="00291865" w:rsidRDefault="00291865" w:rsidP="009D0272">
      <w:pPr>
        <w:pStyle w:val="NoSpacing"/>
        <w:numPr>
          <w:ilvl w:val="0"/>
          <w:numId w:val="18"/>
        </w:numPr>
        <w:rPr>
          <w:rFonts w:ascii="Calibri" w:hAnsi="Calibri"/>
          <w:sz w:val="22"/>
        </w:rPr>
      </w:pPr>
      <w:r w:rsidRPr="0003690E">
        <w:rPr>
          <w:rFonts w:ascii="Calibri" w:hAnsi="Calibri"/>
          <w:sz w:val="22"/>
        </w:rPr>
        <w:t>Employee roles in supporting st</w:t>
      </w:r>
      <w:r w:rsidR="009D0272">
        <w:rPr>
          <w:rFonts w:ascii="Calibri" w:hAnsi="Calibri"/>
          <w:sz w:val="22"/>
        </w:rPr>
        <w:t>udent success under this Title IX policy</w:t>
      </w:r>
    </w:p>
    <w:p w14:paraId="39EA6D29" w14:textId="77777777" w:rsidR="00762412" w:rsidRDefault="00762412" w:rsidP="00762412">
      <w:pPr>
        <w:pStyle w:val="NoSpacing"/>
        <w:rPr>
          <w:rFonts w:ascii="Calibri" w:hAnsi="Calibri"/>
          <w:sz w:val="22"/>
        </w:rPr>
      </w:pPr>
    </w:p>
    <w:p w14:paraId="716A8DEA" w14:textId="77777777" w:rsidR="00762412" w:rsidRPr="0003690E" w:rsidRDefault="00762412" w:rsidP="00762412">
      <w:pPr>
        <w:pStyle w:val="NoSpacing"/>
        <w:rPr>
          <w:rFonts w:ascii="Calibri" w:hAnsi="Calibri"/>
          <w:sz w:val="22"/>
        </w:rPr>
      </w:pPr>
    </w:p>
    <w:sectPr w:rsidR="00762412" w:rsidRPr="0003690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BD22E" w15:done="0"/>
  <w15:commentEx w15:paraId="29E00569" w15:done="0"/>
  <w15:commentEx w15:paraId="547BB561" w15:done="0"/>
  <w15:commentEx w15:paraId="60690F25" w15:paraIdParent="547BB561" w15:done="0"/>
  <w15:commentEx w15:paraId="0BA16F51" w15:done="0"/>
  <w15:commentEx w15:paraId="40E51342" w15:done="0"/>
  <w15:commentEx w15:paraId="0C48B4DC" w15:done="0"/>
  <w15:commentEx w15:paraId="299B6813" w15:paraIdParent="0C48B4DC" w15:done="0"/>
  <w15:commentEx w15:paraId="795ADBB4" w15:done="0"/>
  <w15:commentEx w15:paraId="72E661A4" w15:done="0"/>
  <w15:commentEx w15:paraId="610A53EC" w15:paraIdParent="72E661A4" w15:done="0"/>
  <w15:commentEx w15:paraId="0912A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C3B41" w14:textId="77777777" w:rsidR="001F3866" w:rsidRDefault="001F3866" w:rsidP="006700DD">
      <w:pPr>
        <w:spacing w:after="0" w:line="240" w:lineRule="auto"/>
      </w:pPr>
      <w:r>
        <w:separator/>
      </w:r>
    </w:p>
  </w:endnote>
  <w:endnote w:type="continuationSeparator" w:id="0">
    <w:p w14:paraId="221C82FB" w14:textId="77777777" w:rsidR="001F3866" w:rsidRDefault="001F3866" w:rsidP="0067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1752" w14:textId="77777777" w:rsidR="001F3866" w:rsidRDefault="001F3866" w:rsidP="006700DD">
      <w:pPr>
        <w:spacing w:after="0" w:line="240" w:lineRule="auto"/>
      </w:pPr>
      <w:r>
        <w:separator/>
      </w:r>
    </w:p>
  </w:footnote>
  <w:footnote w:type="continuationSeparator" w:id="0">
    <w:p w14:paraId="76AFA369" w14:textId="77777777" w:rsidR="001F3866" w:rsidRDefault="001F3866" w:rsidP="0067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110"/>
    <w:multiLevelType w:val="multilevel"/>
    <w:tmpl w:val="45543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E2B3D"/>
    <w:multiLevelType w:val="multilevel"/>
    <w:tmpl w:val="10667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15AAA"/>
    <w:multiLevelType w:val="hybridMultilevel"/>
    <w:tmpl w:val="F4FC12AE"/>
    <w:lvl w:ilvl="0" w:tplc="016E58F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260B7"/>
    <w:multiLevelType w:val="multilevel"/>
    <w:tmpl w:val="0C80E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C171E"/>
    <w:multiLevelType w:val="hybridMultilevel"/>
    <w:tmpl w:val="3BB4C044"/>
    <w:lvl w:ilvl="0" w:tplc="016E58F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E00BD"/>
    <w:multiLevelType w:val="hybridMultilevel"/>
    <w:tmpl w:val="2448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C7338"/>
    <w:multiLevelType w:val="hybridMultilevel"/>
    <w:tmpl w:val="EF52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B500E"/>
    <w:multiLevelType w:val="multilevel"/>
    <w:tmpl w:val="CEECE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97A92"/>
    <w:multiLevelType w:val="hybridMultilevel"/>
    <w:tmpl w:val="1744FCDC"/>
    <w:lvl w:ilvl="0" w:tplc="016E58F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67187"/>
    <w:multiLevelType w:val="hybridMultilevel"/>
    <w:tmpl w:val="1BA0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51BE5"/>
    <w:multiLevelType w:val="multilevel"/>
    <w:tmpl w:val="8A961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54AEE"/>
    <w:multiLevelType w:val="hybridMultilevel"/>
    <w:tmpl w:val="AA7A9E1A"/>
    <w:lvl w:ilvl="0" w:tplc="016E58F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2085F"/>
    <w:multiLevelType w:val="hybridMultilevel"/>
    <w:tmpl w:val="C04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87BAC"/>
    <w:multiLevelType w:val="hybridMultilevel"/>
    <w:tmpl w:val="96E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C39AD"/>
    <w:multiLevelType w:val="multilevel"/>
    <w:tmpl w:val="E1868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01E5B"/>
    <w:multiLevelType w:val="hybridMultilevel"/>
    <w:tmpl w:val="84180E4E"/>
    <w:lvl w:ilvl="0" w:tplc="016E58F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228B8"/>
    <w:multiLevelType w:val="hybridMultilevel"/>
    <w:tmpl w:val="8F9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925F2"/>
    <w:multiLevelType w:val="hybridMultilevel"/>
    <w:tmpl w:val="FF9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D1436"/>
    <w:multiLevelType w:val="hybridMultilevel"/>
    <w:tmpl w:val="1B7850F6"/>
    <w:lvl w:ilvl="0" w:tplc="016E58F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96C7D"/>
    <w:multiLevelType w:val="hybridMultilevel"/>
    <w:tmpl w:val="88A0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3"/>
  </w:num>
  <w:num w:numId="5">
    <w:abstractNumId w:val="14"/>
  </w:num>
  <w:num w:numId="6">
    <w:abstractNumId w:val="0"/>
  </w:num>
  <w:num w:numId="7">
    <w:abstractNumId w:val="7"/>
  </w:num>
  <w:num w:numId="8">
    <w:abstractNumId w:val="10"/>
  </w:num>
  <w:num w:numId="9">
    <w:abstractNumId w:val="1"/>
  </w:num>
  <w:num w:numId="10">
    <w:abstractNumId w:val="2"/>
  </w:num>
  <w:num w:numId="11">
    <w:abstractNumId w:val="15"/>
  </w:num>
  <w:num w:numId="12">
    <w:abstractNumId w:val="12"/>
  </w:num>
  <w:num w:numId="13">
    <w:abstractNumId w:val="6"/>
  </w:num>
  <w:num w:numId="14">
    <w:abstractNumId w:val="5"/>
  </w:num>
  <w:num w:numId="15">
    <w:abstractNumId w:val="18"/>
  </w:num>
  <w:num w:numId="16">
    <w:abstractNumId w:val="19"/>
  </w:num>
  <w:num w:numId="17">
    <w:abstractNumId w:val="8"/>
  </w:num>
  <w:num w:numId="18">
    <w:abstractNumId w:val="4"/>
  </w:num>
  <w:num w:numId="19">
    <w:abstractNumId w:val="13"/>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W. Holmes">
    <w15:presenceInfo w15:providerId="None" w15:userId="Christopher W. Holmes"/>
  </w15:person>
  <w15:person w15:author="McCraw, Bethany">
    <w15:presenceInfo w15:providerId="AD" w15:userId="S-1-5-21-1482476501-1935655697-682003330-107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BF"/>
    <w:rsid w:val="0003690E"/>
    <w:rsid w:val="000745CE"/>
    <w:rsid w:val="000C16DF"/>
    <w:rsid w:val="00102CED"/>
    <w:rsid w:val="00132CAE"/>
    <w:rsid w:val="00153535"/>
    <w:rsid w:val="0015430D"/>
    <w:rsid w:val="001659DD"/>
    <w:rsid w:val="001E1589"/>
    <w:rsid w:val="001E5DF6"/>
    <w:rsid w:val="001F3866"/>
    <w:rsid w:val="00254821"/>
    <w:rsid w:val="00272238"/>
    <w:rsid w:val="00291865"/>
    <w:rsid w:val="00305F95"/>
    <w:rsid w:val="00316CE1"/>
    <w:rsid w:val="00322E3F"/>
    <w:rsid w:val="003E78BF"/>
    <w:rsid w:val="003F5E54"/>
    <w:rsid w:val="0043186E"/>
    <w:rsid w:val="00470CEC"/>
    <w:rsid w:val="004A4FAF"/>
    <w:rsid w:val="004E1EED"/>
    <w:rsid w:val="00542A5F"/>
    <w:rsid w:val="0056268F"/>
    <w:rsid w:val="005C3264"/>
    <w:rsid w:val="0062565B"/>
    <w:rsid w:val="00643FF8"/>
    <w:rsid w:val="00655EBF"/>
    <w:rsid w:val="006700DD"/>
    <w:rsid w:val="00670ECD"/>
    <w:rsid w:val="00733417"/>
    <w:rsid w:val="007423BD"/>
    <w:rsid w:val="00762412"/>
    <w:rsid w:val="00773F1F"/>
    <w:rsid w:val="007C5D9C"/>
    <w:rsid w:val="007E2CE8"/>
    <w:rsid w:val="00805A58"/>
    <w:rsid w:val="00806CCF"/>
    <w:rsid w:val="00853CDC"/>
    <w:rsid w:val="00881C51"/>
    <w:rsid w:val="00947E39"/>
    <w:rsid w:val="009D0272"/>
    <w:rsid w:val="009E276B"/>
    <w:rsid w:val="009E7B8F"/>
    <w:rsid w:val="00A32302"/>
    <w:rsid w:val="00A53E4C"/>
    <w:rsid w:val="00A75F6B"/>
    <w:rsid w:val="00A8761A"/>
    <w:rsid w:val="00A93E08"/>
    <w:rsid w:val="00AB16F8"/>
    <w:rsid w:val="00AB2907"/>
    <w:rsid w:val="00B9022E"/>
    <w:rsid w:val="00B979A6"/>
    <w:rsid w:val="00BA0536"/>
    <w:rsid w:val="00BC42DB"/>
    <w:rsid w:val="00BD36FE"/>
    <w:rsid w:val="00CD54AF"/>
    <w:rsid w:val="00D416D7"/>
    <w:rsid w:val="00D848D4"/>
    <w:rsid w:val="00D85632"/>
    <w:rsid w:val="00DB5BEC"/>
    <w:rsid w:val="00DB7B49"/>
    <w:rsid w:val="00E71C2A"/>
    <w:rsid w:val="00F15BA1"/>
    <w:rsid w:val="00F347A9"/>
    <w:rsid w:val="00F37CB4"/>
    <w:rsid w:val="00F468EB"/>
    <w:rsid w:val="00F80512"/>
    <w:rsid w:val="00FE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DC"/>
    <w:pPr>
      <w:spacing w:after="0" w:line="240" w:lineRule="auto"/>
      <w:ind w:left="720"/>
      <w:contextualSpacing/>
    </w:pPr>
    <w:rPr>
      <w:rFonts w:eastAsiaTheme="minorHAnsi"/>
      <w:sz w:val="24"/>
      <w:szCs w:val="24"/>
    </w:rPr>
  </w:style>
  <w:style w:type="paragraph" w:styleId="NoSpacing">
    <w:name w:val="No Spacing"/>
    <w:uiPriority w:val="1"/>
    <w:qFormat/>
    <w:rsid w:val="00655EB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55EBF"/>
    <w:rPr>
      <w:color w:val="0000FF"/>
      <w:u w:val="single"/>
    </w:rPr>
  </w:style>
  <w:style w:type="character" w:styleId="CommentReference">
    <w:name w:val="annotation reference"/>
    <w:basedOn w:val="DefaultParagraphFont"/>
    <w:uiPriority w:val="99"/>
    <w:semiHidden/>
    <w:unhideWhenUsed/>
    <w:rsid w:val="00CD54AF"/>
    <w:rPr>
      <w:sz w:val="16"/>
      <w:szCs w:val="16"/>
    </w:rPr>
  </w:style>
  <w:style w:type="paragraph" w:styleId="CommentText">
    <w:name w:val="annotation text"/>
    <w:basedOn w:val="Normal"/>
    <w:link w:val="CommentTextChar"/>
    <w:uiPriority w:val="99"/>
    <w:semiHidden/>
    <w:unhideWhenUsed/>
    <w:rsid w:val="00CD54AF"/>
    <w:pPr>
      <w:spacing w:line="240" w:lineRule="auto"/>
    </w:pPr>
    <w:rPr>
      <w:sz w:val="20"/>
      <w:szCs w:val="20"/>
    </w:rPr>
  </w:style>
  <w:style w:type="character" w:customStyle="1" w:styleId="CommentTextChar">
    <w:name w:val="Comment Text Char"/>
    <w:basedOn w:val="DefaultParagraphFont"/>
    <w:link w:val="CommentText"/>
    <w:uiPriority w:val="99"/>
    <w:semiHidden/>
    <w:rsid w:val="00CD54AF"/>
    <w:rPr>
      <w:sz w:val="20"/>
      <w:szCs w:val="20"/>
    </w:rPr>
  </w:style>
  <w:style w:type="paragraph" w:styleId="CommentSubject">
    <w:name w:val="annotation subject"/>
    <w:basedOn w:val="CommentText"/>
    <w:next w:val="CommentText"/>
    <w:link w:val="CommentSubjectChar"/>
    <w:uiPriority w:val="99"/>
    <w:semiHidden/>
    <w:unhideWhenUsed/>
    <w:rsid w:val="00CD54AF"/>
    <w:rPr>
      <w:b/>
      <w:bCs/>
    </w:rPr>
  </w:style>
  <w:style w:type="character" w:customStyle="1" w:styleId="CommentSubjectChar">
    <w:name w:val="Comment Subject Char"/>
    <w:basedOn w:val="CommentTextChar"/>
    <w:link w:val="CommentSubject"/>
    <w:uiPriority w:val="99"/>
    <w:semiHidden/>
    <w:rsid w:val="00CD54AF"/>
    <w:rPr>
      <w:b/>
      <w:bCs/>
      <w:sz w:val="20"/>
      <w:szCs w:val="20"/>
    </w:rPr>
  </w:style>
  <w:style w:type="paragraph" w:styleId="BalloonText">
    <w:name w:val="Balloon Text"/>
    <w:basedOn w:val="Normal"/>
    <w:link w:val="BalloonTextChar"/>
    <w:uiPriority w:val="99"/>
    <w:semiHidden/>
    <w:unhideWhenUsed/>
    <w:rsid w:val="00CD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AF"/>
    <w:rPr>
      <w:rFonts w:ascii="Segoe UI" w:hAnsi="Segoe UI" w:cs="Segoe UI"/>
      <w:sz w:val="18"/>
      <w:szCs w:val="18"/>
    </w:rPr>
  </w:style>
  <w:style w:type="character" w:styleId="FollowedHyperlink">
    <w:name w:val="FollowedHyperlink"/>
    <w:basedOn w:val="DefaultParagraphFont"/>
    <w:uiPriority w:val="99"/>
    <w:semiHidden/>
    <w:unhideWhenUsed/>
    <w:rsid w:val="00322E3F"/>
    <w:rPr>
      <w:color w:val="800080" w:themeColor="followedHyperlink"/>
      <w:u w:val="single"/>
    </w:rPr>
  </w:style>
  <w:style w:type="paragraph" w:styleId="Header">
    <w:name w:val="header"/>
    <w:basedOn w:val="Normal"/>
    <w:link w:val="HeaderChar"/>
    <w:uiPriority w:val="99"/>
    <w:unhideWhenUsed/>
    <w:rsid w:val="0067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DD"/>
  </w:style>
  <w:style w:type="paragraph" w:styleId="Footer">
    <w:name w:val="footer"/>
    <w:basedOn w:val="Normal"/>
    <w:link w:val="FooterChar"/>
    <w:uiPriority w:val="99"/>
    <w:unhideWhenUsed/>
    <w:rsid w:val="0067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DC"/>
    <w:pPr>
      <w:spacing w:after="0" w:line="240" w:lineRule="auto"/>
      <w:ind w:left="720"/>
      <w:contextualSpacing/>
    </w:pPr>
    <w:rPr>
      <w:rFonts w:eastAsiaTheme="minorHAnsi"/>
      <w:sz w:val="24"/>
      <w:szCs w:val="24"/>
    </w:rPr>
  </w:style>
  <w:style w:type="paragraph" w:styleId="NoSpacing">
    <w:name w:val="No Spacing"/>
    <w:uiPriority w:val="1"/>
    <w:qFormat/>
    <w:rsid w:val="00655EB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55EBF"/>
    <w:rPr>
      <w:color w:val="0000FF"/>
      <w:u w:val="single"/>
    </w:rPr>
  </w:style>
  <w:style w:type="character" w:styleId="CommentReference">
    <w:name w:val="annotation reference"/>
    <w:basedOn w:val="DefaultParagraphFont"/>
    <w:uiPriority w:val="99"/>
    <w:semiHidden/>
    <w:unhideWhenUsed/>
    <w:rsid w:val="00CD54AF"/>
    <w:rPr>
      <w:sz w:val="16"/>
      <w:szCs w:val="16"/>
    </w:rPr>
  </w:style>
  <w:style w:type="paragraph" w:styleId="CommentText">
    <w:name w:val="annotation text"/>
    <w:basedOn w:val="Normal"/>
    <w:link w:val="CommentTextChar"/>
    <w:uiPriority w:val="99"/>
    <w:semiHidden/>
    <w:unhideWhenUsed/>
    <w:rsid w:val="00CD54AF"/>
    <w:pPr>
      <w:spacing w:line="240" w:lineRule="auto"/>
    </w:pPr>
    <w:rPr>
      <w:sz w:val="20"/>
      <w:szCs w:val="20"/>
    </w:rPr>
  </w:style>
  <w:style w:type="character" w:customStyle="1" w:styleId="CommentTextChar">
    <w:name w:val="Comment Text Char"/>
    <w:basedOn w:val="DefaultParagraphFont"/>
    <w:link w:val="CommentText"/>
    <w:uiPriority w:val="99"/>
    <w:semiHidden/>
    <w:rsid w:val="00CD54AF"/>
    <w:rPr>
      <w:sz w:val="20"/>
      <w:szCs w:val="20"/>
    </w:rPr>
  </w:style>
  <w:style w:type="paragraph" w:styleId="CommentSubject">
    <w:name w:val="annotation subject"/>
    <w:basedOn w:val="CommentText"/>
    <w:next w:val="CommentText"/>
    <w:link w:val="CommentSubjectChar"/>
    <w:uiPriority w:val="99"/>
    <w:semiHidden/>
    <w:unhideWhenUsed/>
    <w:rsid w:val="00CD54AF"/>
    <w:rPr>
      <w:b/>
      <w:bCs/>
    </w:rPr>
  </w:style>
  <w:style w:type="character" w:customStyle="1" w:styleId="CommentSubjectChar">
    <w:name w:val="Comment Subject Char"/>
    <w:basedOn w:val="CommentTextChar"/>
    <w:link w:val="CommentSubject"/>
    <w:uiPriority w:val="99"/>
    <w:semiHidden/>
    <w:rsid w:val="00CD54AF"/>
    <w:rPr>
      <w:b/>
      <w:bCs/>
      <w:sz w:val="20"/>
      <w:szCs w:val="20"/>
    </w:rPr>
  </w:style>
  <w:style w:type="paragraph" w:styleId="BalloonText">
    <w:name w:val="Balloon Text"/>
    <w:basedOn w:val="Normal"/>
    <w:link w:val="BalloonTextChar"/>
    <w:uiPriority w:val="99"/>
    <w:semiHidden/>
    <w:unhideWhenUsed/>
    <w:rsid w:val="00CD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AF"/>
    <w:rPr>
      <w:rFonts w:ascii="Segoe UI" w:hAnsi="Segoe UI" w:cs="Segoe UI"/>
      <w:sz w:val="18"/>
      <w:szCs w:val="18"/>
    </w:rPr>
  </w:style>
  <w:style w:type="character" w:styleId="FollowedHyperlink">
    <w:name w:val="FollowedHyperlink"/>
    <w:basedOn w:val="DefaultParagraphFont"/>
    <w:uiPriority w:val="99"/>
    <w:semiHidden/>
    <w:unhideWhenUsed/>
    <w:rsid w:val="00322E3F"/>
    <w:rPr>
      <w:color w:val="800080" w:themeColor="followedHyperlink"/>
      <w:u w:val="single"/>
    </w:rPr>
  </w:style>
  <w:style w:type="paragraph" w:styleId="Header">
    <w:name w:val="header"/>
    <w:basedOn w:val="Normal"/>
    <w:link w:val="HeaderChar"/>
    <w:uiPriority w:val="99"/>
    <w:unhideWhenUsed/>
    <w:rsid w:val="0067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DD"/>
  </w:style>
  <w:style w:type="paragraph" w:styleId="Footer">
    <w:name w:val="footer"/>
    <w:basedOn w:val="Normal"/>
    <w:link w:val="FooterChar"/>
    <w:uiPriority w:val="99"/>
    <w:unhideWhenUsed/>
    <w:rsid w:val="0067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ylor.edu/titleIX/doc.php/2437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092C-B727-4A28-A9E8-1AF316C3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1565</Words>
  <Characters>8925</Characters>
  <Application>Microsoft Office Word</Application>
  <DocSecurity>0</DocSecurity>
  <PresentationFormat>14|.DOCX</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2015-08-24T21:17:00Z</cp:lastPrinted>
  <dcterms:created xsi:type="dcterms:W3CDTF">2015-08-24T21:10:00Z</dcterms:created>
  <dcterms:modified xsi:type="dcterms:W3CDTF">2015-08-24T21:40:00Z</dcterms:modified>
</cp:coreProperties>
</file>